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55AE3" w:rsidRPr="005D39BD" w:rsidRDefault="005D39BD">
      <w:pPr>
        <w:pStyle w:val="Heading1"/>
        <w:spacing w:after="0"/>
        <w:rPr>
          <w:sz w:val="28"/>
          <w:szCs w:val="28"/>
        </w:rPr>
      </w:pPr>
      <w:r w:rsidRPr="005D39BD">
        <w:rPr>
          <w:sz w:val="28"/>
          <w:szCs w:val="28"/>
        </w:rPr>
        <w:t xml:space="preserve">AMENDED AND RESTATED </w:t>
      </w:r>
      <w:r w:rsidR="00F55AE3" w:rsidRPr="005D39BD">
        <w:rPr>
          <w:sz w:val="28"/>
          <w:szCs w:val="28"/>
        </w:rPr>
        <w:t>BYLAWS</w:t>
      </w:r>
    </w:p>
    <w:p w:rsidR="00F55AE3" w:rsidRPr="005D39BD" w:rsidRDefault="00F55AE3">
      <w:pPr>
        <w:pStyle w:val="Heading1"/>
        <w:spacing w:after="0"/>
        <w:rPr>
          <w:sz w:val="28"/>
          <w:szCs w:val="28"/>
        </w:rPr>
      </w:pPr>
      <w:r w:rsidRPr="005D39BD">
        <w:rPr>
          <w:sz w:val="28"/>
          <w:szCs w:val="28"/>
        </w:rPr>
        <w:t>OF</w:t>
      </w:r>
    </w:p>
    <w:p w:rsidR="00F55AE3" w:rsidRDefault="005D39BD">
      <w:pPr>
        <w:pStyle w:val="BodyText"/>
        <w:jc w:val="center"/>
        <w:rPr>
          <w:b/>
          <w:sz w:val="28"/>
          <w:szCs w:val="28"/>
        </w:rPr>
      </w:pPr>
      <w:r w:rsidRPr="005D39BD">
        <w:rPr>
          <w:b/>
          <w:sz w:val="28"/>
          <w:szCs w:val="28"/>
        </w:rPr>
        <w:t>UTAH CHESS ASSOCIATION</w:t>
      </w:r>
    </w:p>
    <w:p w:rsidR="00331295" w:rsidRPr="00331295" w:rsidRDefault="00331295">
      <w:pPr>
        <w:pStyle w:val="BodyText"/>
        <w:jc w:val="center"/>
        <w:rPr>
          <w:b/>
          <w:sz w:val="22"/>
          <w:szCs w:val="22"/>
        </w:rPr>
      </w:pPr>
      <w:r w:rsidRPr="00331295">
        <w:rPr>
          <w:b/>
          <w:sz w:val="22"/>
          <w:szCs w:val="22"/>
        </w:rPr>
        <w:t xml:space="preserve">Adopted Effective </w:t>
      </w:r>
      <w:r w:rsidR="00576AEE">
        <w:rPr>
          <w:b/>
          <w:sz w:val="22"/>
          <w:szCs w:val="22"/>
        </w:rPr>
        <w:t>October 14</w:t>
      </w:r>
      <w:r>
        <w:rPr>
          <w:b/>
          <w:sz w:val="22"/>
          <w:szCs w:val="22"/>
        </w:rPr>
        <w:t>, 2017</w:t>
      </w:r>
    </w:p>
    <w:p w:rsidR="002700FA" w:rsidRDefault="002700FA" w:rsidP="002700FA">
      <w:pPr>
        <w:pStyle w:val="Heading2"/>
        <w:jc w:val="center"/>
      </w:pPr>
      <w:r>
        <w:t>PREAMBLE</w:t>
      </w:r>
    </w:p>
    <w:p w:rsidR="002700FA" w:rsidRPr="002700FA" w:rsidRDefault="002700FA" w:rsidP="00D53877">
      <w:pPr>
        <w:pStyle w:val="BodyText"/>
        <w:ind w:firstLine="720"/>
      </w:pPr>
      <w:r>
        <w:t>These Amended and Restated Bylaws</w:t>
      </w:r>
      <w:r w:rsidR="00D53877">
        <w:t xml:space="preserve"> of Utah Chess Association ( “</w:t>
      </w:r>
      <w:r w:rsidR="00D53877" w:rsidRPr="00D53877">
        <w:rPr>
          <w:u w:val="single"/>
        </w:rPr>
        <w:t>Utah Chess Association</w:t>
      </w:r>
      <w:r w:rsidR="00D53877">
        <w:t>” or “</w:t>
      </w:r>
      <w:r w:rsidR="00D53877" w:rsidRPr="00D53877">
        <w:rPr>
          <w:u w:val="single"/>
        </w:rPr>
        <w:t>UCA</w:t>
      </w:r>
      <w:r w:rsidR="00D53877">
        <w:t>”)</w:t>
      </w:r>
      <w:r>
        <w:t xml:space="preserve"> a</w:t>
      </w:r>
      <w:r w:rsidR="00D53877">
        <w:t>mend and restate in their entirety</w:t>
      </w:r>
      <w:r>
        <w:t xml:space="preserve"> the </w:t>
      </w:r>
      <w:r w:rsidR="00D53877">
        <w:t xml:space="preserve">current </w:t>
      </w:r>
      <w:r>
        <w:t>by</w:t>
      </w:r>
      <w:r w:rsidR="00B83CFE">
        <w:t>-</w:t>
      </w:r>
      <w:r>
        <w:t>laws</w:t>
      </w:r>
      <w:r w:rsidR="00B83CFE">
        <w:t xml:space="preserve"> of the Utah Chess Association, as amended</w:t>
      </w:r>
      <w:r w:rsidR="00D53877">
        <w:t xml:space="preserve"> from time to time</w:t>
      </w:r>
      <w:r w:rsidR="00B83CFE">
        <w:t xml:space="preserve">.   </w:t>
      </w:r>
    </w:p>
    <w:p w:rsidR="002700FA" w:rsidRDefault="002700FA">
      <w:pPr>
        <w:pStyle w:val="Heading2"/>
        <w:spacing w:after="0"/>
        <w:jc w:val="center"/>
      </w:pPr>
    </w:p>
    <w:p w:rsidR="00F55AE3" w:rsidRDefault="00F55AE3">
      <w:pPr>
        <w:pStyle w:val="Heading2"/>
        <w:spacing w:after="0"/>
        <w:jc w:val="center"/>
      </w:pPr>
      <w:r>
        <w:t>ARTICLE I</w:t>
      </w:r>
    </w:p>
    <w:p w:rsidR="00F55AE3" w:rsidRDefault="00F55AE3">
      <w:pPr>
        <w:pStyle w:val="Heading2"/>
        <w:spacing w:after="0"/>
        <w:jc w:val="center"/>
      </w:pPr>
      <w:r>
        <w:t>OFFICES, CORPORATE SEAL</w:t>
      </w:r>
    </w:p>
    <w:p w:rsidR="00F55AE3" w:rsidRDefault="00F55AE3">
      <w:pPr>
        <w:pStyle w:val="Heading2"/>
      </w:pPr>
    </w:p>
    <w:p w:rsidR="00F55AE3" w:rsidRDefault="00F55AE3">
      <w:r>
        <w:rPr>
          <w:b/>
        </w:rPr>
        <w:tab/>
        <w:t>Section 1.01.  Registered Office.</w:t>
      </w:r>
      <w:r w:rsidR="00D53877">
        <w:t xml:space="preserve">  The registered office located in Utah of the Utah Chess Association </w:t>
      </w:r>
      <w:r>
        <w:t xml:space="preserve">shall be that as set forth in the Articles of Incorporation, or in the most recent amendment of the Articles of Incorporation, or in the most recent statement filed with the </w:t>
      </w:r>
      <w:r w:rsidR="00015CA2">
        <w:t xml:space="preserve">Utah Division of Corporations and Commercial Code </w:t>
      </w:r>
      <w:r>
        <w:t>changing the registered office.</w:t>
      </w:r>
    </w:p>
    <w:p w:rsidR="00F55AE3" w:rsidRDefault="00F55AE3"/>
    <w:p w:rsidR="00F55AE3" w:rsidRDefault="00F55AE3">
      <w:r>
        <w:tab/>
      </w:r>
      <w:r>
        <w:rPr>
          <w:b/>
        </w:rPr>
        <w:t>Section 1.02.  Other Offices.</w:t>
      </w:r>
      <w:r>
        <w:t xml:space="preserve">  </w:t>
      </w:r>
      <w:r w:rsidR="00D53877">
        <w:t>The UCA</w:t>
      </w:r>
      <w:r>
        <w:t xml:space="preserve"> may have such other offices, within o</w:t>
      </w:r>
      <w:r w:rsidR="00015CA2">
        <w:t>r without the State of Utah</w:t>
      </w:r>
      <w:r>
        <w:t>, as the Board of Directors may from time to time determine.</w:t>
      </w:r>
    </w:p>
    <w:p w:rsidR="00F55AE3" w:rsidRDefault="00F55AE3">
      <w:pPr>
        <w:pStyle w:val="List"/>
      </w:pPr>
    </w:p>
    <w:p w:rsidR="00F55AE3" w:rsidRDefault="00F55AE3">
      <w:pPr>
        <w:rPr>
          <w:b/>
          <w:bCs/>
        </w:rPr>
      </w:pPr>
      <w:r>
        <w:tab/>
      </w:r>
      <w:r>
        <w:rPr>
          <w:b/>
        </w:rPr>
        <w:t>Section 1.03.  Corporate Seal.</w:t>
      </w:r>
      <w:r>
        <w:t xml:space="preserve">  </w:t>
      </w:r>
      <w:r w:rsidR="00D53877">
        <w:t>The UCA</w:t>
      </w:r>
      <w:r>
        <w:t xml:space="preserve"> shall have no corporate seal.</w:t>
      </w:r>
    </w:p>
    <w:p w:rsidR="00F55AE3" w:rsidRDefault="00F55AE3"/>
    <w:p w:rsidR="00F55AE3" w:rsidRDefault="00F55AE3">
      <w:pPr>
        <w:pStyle w:val="Heading2"/>
        <w:spacing w:after="0"/>
        <w:jc w:val="center"/>
      </w:pPr>
      <w:r>
        <w:t>ARTICLE II</w:t>
      </w:r>
    </w:p>
    <w:p w:rsidR="00F55AE3" w:rsidRDefault="00F55AE3">
      <w:pPr>
        <w:pStyle w:val="Heading2"/>
        <w:spacing w:after="0"/>
        <w:jc w:val="center"/>
      </w:pPr>
      <w:r>
        <w:t>MEMBERS</w:t>
      </w:r>
    </w:p>
    <w:p w:rsidR="00F55AE3" w:rsidRDefault="00F55AE3">
      <w:pPr>
        <w:pStyle w:val="BodyText"/>
      </w:pPr>
    </w:p>
    <w:p w:rsidR="00943E24" w:rsidRDefault="00F55AE3">
      <w:pPr>
        <w:pStyle w:val="BodyText"/>
        <w:rPr>
          <w:color w:val="000000"/>
        </w:rPr>
      </w:pPr>
      <w:r>
        <w:rPr>
          <w:b/>
          <w:color w:val="000000"/>
        </w:rPr>
        <w:tab/>
        <w:t xml:space="preserve">Section 2.01. </w:t>
      </w:r>
      <w:r w:rsidR="00624202">
        <w:rPr>
          <w:b/>
          <w:color w:val="000000"/>
        </w:rPr>
        <w:t xml:space="preserve"> Members</w:t>
      </w:r>
      <w:r>
        <w:rPr>
          <w:b/>
          <w:color w:val="000000"/>
        </w:rPr>
        <w:t>.</w:t>
      </w:r>
      <w:r>
        <w:rPr>
          <w:color w:val="000000"/>
        </w:rPr>
        <w:t xml:space="preserve">  Any person who</w:t>
      </w:r>
      <w:r w:rsidR="00624202">
        <w:rPr>
          <w:color w:val="000000"/>
        </w:rPr>
        <w:t xml:space="preserve"> (a) </w:t>
      </w:r>
      <w:r w:rsidR="00B7480D">
        <w:rPr>
          <w:color w:val="000000"/>
        </w:rPr>
        <w:t xml:space="preserve">is </w:t>
      </w:r>
      <w:r w:rsidR="00624202">
        <w:rPr>
          <w:color w:val="000000"/>
        </w:rPr>
        <w:t xml:space="preserve">a current member of the US Chess Federation in good standing and a resident of the state of Utah or (b) </w:t>
      </w:r>
      <w:r w:rsidR="00B7480D">
        <w:rPr>
          <w:color w:val="000000"/>
        </w:rPr>
        <w:t>has been accepted as a member of the Utah Chess Association by majority vote of the Board of Directors</w:t>
      </w:r>
      <w:r w:rsidR="00AA6452">
        <w:rPr>
          <w:color w:val="000000"/>
        </w:rPr>
        <w:t xml:space="preserve"> of the Utah Chess Association (the “</w:t>
      </w:r>
      <w:r w:rsidR="00AA6452" w:rsidRPr="00AA6452">
        <w:rPr>
          <w:color w:val="000000"/>
          <w:u w:val="single"/>
        </w:rPr>
        <w:t>Board</w:t>
      </w:r>
      <w:r w:rsidR="00AA6452">
        <w:rPr>
          <w:color w:val="000000"/>
        </w:rPr>
        <w:t>” or the “</w:t>
      </w:r>
      <w:r w:rsidR="00AA6452" w:rsidRPr="00AA6452">
        <w:rPr>
          <w:color w:val="000000"/>
          <w:u w:val="single"/>
        </w:rPr>
        <w:t>Board of Directors</w:t>
      </w:r>
      <w:r w:rsidR="00AA6452">
        <w:rPr>
          <w:color w:val="000000"/>
        </w:rPr>
        <w:t>”)</w:t>
      </w:r>
      <w:r w:rsidR="00B7480D">
        <w:rPr>
          <w:color w:val="000000"/>
        </w:rPr>
        <w:t xml:space="preserve">, and who has paid </w:t>
      </w:r>
      <w:r w:rsidR="00943E24">
        <w:rPr>
          <w:color w:val="000000"/>
        </w:rPr>
        <w:t>the dues, if any, and met the additional requirements for membership</w:t>
      </w:r>
      <w:r w:rsidR="00B83CFE">
        <w:rPr>
          <w:color w:val="000000"/>
        </w:rPr>
        <w:t xml:space="preserve"> (such as providing appropriate contact information)</w:t>
      </w:r>
      <w:r w:rsidR="00943E24">
        <w:rPr>
          <w:color w:val="000000"/>
        </w:rPr>
        <w:t>, if any, established by the Board of Directors, shall be a member (a “</w:t>
      </w:r>
      <w:r w:rsidR="00943E24" w:rsidRPr="00B83CFE">
        <w:rPr>
          <w:color w:val="000000"/>
          <w:u w:val="single"/>
        </w:rPr>
        <w:t>Member</w:t>
      </w:r>
      <w:r w:rsidR="00943E24">
        <w:rPr>
          <w:color w:val="000000"/>
        </w:rPr>
        <w:t xml:space="preserve">”) of the corporation.  </w:t>
      </w:r>
      <w:r w:rsidR="00B83CFE">
        <w:rPr>
          <w:color w:val="000000"/>
        </w:rPr>
        <w:t xml:space="preserve">For the avoidance of doubt, a Member who ceases to be a </w:t>
      </w:r>
      <w:r w:rsidR="00822A34">
        <w:rPr>
          <w:color w:val="000000"/>
        </w:rPr>
        <w:t xml:space="preserve">member of the US Chess Federation in good standing or ceases to be a resident of the state of Utah or fails to pay the dues required, if any, or fails to comply with additional membership requirements established by the Board of Directors, if any, shall cease to be a Member.   </w:t>
      </w:r>
    </w:p>
    <w:p w:rsidR="00F55AE3" w:rsidRDefault="00F55AE3" w:rsidP="00AD7CAD">
      <w:pPr>
        <w:pStyle w:val="BodyText"/>
      </w:pPr>
      <w:r>
        <w:rPr>
          <w:color w:val="000000"/>
        </w:rPr>
        <w:tab/>
      </w:r>
      <w:r w:rsidR="00AD7CAD">
        <w:rPr>
          <w:b/>
        </w:rPr>
        <w:t>Section 2.02</w:t>
      </w:r>
      <w:r>
        <w:rPr>
          <w:b/>
        </w:rPr>
        <w:t>.  Resignation.</w:t>
      </w:r>
      <w:r>
        <w:t xml:space="preserve">  A Member may resign at any time by giving notice to </w:t>
      </w:r>
      <w:r w:rsidR="00D53877">
        <w:t>the UCA</w:t>
      </w:r>
      <w:r>
        <w:t xml:space="preserve">.  The resignation of a member is effective without acceptance when the notice is given to </w:t>
      </w:r>
      <w:r w:rsidR="00D53877">
        <w:t>the UCA</w:t>
      </w:r>
      <w:r>
        <w:t>, unless a later effective time is specified in the notice.  Written notice or an electronic communication may satisfy the notice requirement.</w:t>
      </w:r>
    </w:p>
    <w:p w:rsidR="00F55AE3" w:rsidRDefault="00F55AE3">
      <w:r>
        <w:lastRenderedPageBreak/>
        <w:tab/>
      </w:r>
      <w:r>
        <w:rPr>
          <w:b/>
        </w:rPr>
        <w:t xml:space="preserve">Section 2.06.  Removal </w:t>
      </w:r>
      <w:r w:rsidR="00822A34">
        <w:rPr>
          <w:b/>
        </w:rPr>
        <w:t xml:space="preserve">or Suspension </w:t>
      </w:r>
      <w:r>
        <w:rPr>
          <w:b/>
        </w:rPr>
        <w:t>of Members.</w:t>
      </w:r>
      <w:r>
        <w:t xml:space="preserve">  </w:t>
      </w:r>
      <w:r w:rsidR="0000003B">
        <w:t>A M</w:t>
      </w:r>
      <w:r w:rsidR="0000003B" w:rsidRPr="0000003B">
        <w:t xml:space="preserve">ember of the Utah Chess Association may have his privileges suspended, or his membership terminated, for just cause and </w:t>
      </w:r>
      <w:r w:rsidR="0000003B">
        <w:t>after a hearing, by the affirmative vote of 2/3 of the directors</w:t>
      </w:r>
      <w:r w:rsidR="0000003B" w:rsidRPr="0000003B">
        <w:t xml:space="preserve"> at a meeting called for that purpose.  Before membership may b</w:t>
      </w:r>
      <w:r w:rsidR="00287F8A">
        <w:t>e suspended or terminated, the M</w:t>
      </w:r>
      <w:r w:rsidR="0000003B" w:rsidRPr="0000003B">
        <w:t xml:space="preserve">ember in question must be given written notice of the cause for suspension or termination, and of the scheduling of the </w:t>
      </w:r>
      <w:r w:rsidR="0000003B">
        <w:t xml:space="preserve">hearing, not less than ten </w:t>
      </w:r>
      <w:r w:rsidR="0000003B" w:rsidRPr="0000003B">
        <w:t xml:space="preserve">days before the hearing is held.  Any member wishing to challenge any suspension or termination of membership approved by the Board of Directors may seek review of that determination at the next </w:t>
      </w:r>
      <w:r w:rsidR="0000003B">
        <w:t xml:space="preserve">annual </w:t>
      </w:r>
      <w:r w:rsidR="0000003B" w:rsidRPr="0000003B">
        <w:t xml:space="preserve">membership meeting of the Utah Chess Association, provided that the aggrieved member provides written notice of intent to appeal to the Secretary </w:t>
      </w:r>
      <w:r w:rsidR="0000003B">
        <w:t>not less than thirty</w:t>
      </w:r>
      <w:r w:rsidR="0000003B" w:rsidRPr="0000003B">
        <w:t xml:space="preserve"> days prior to the membership m</w:t>
      </w:r>
      <w:r w:rsidR="00287F8A">
        <w:t>eeting.  The Board’s</w:t>
      </w:r>
      <w:r w:rsidR="0000003B" w:rsidRPr="0000003B">
        <w:t xml:space="preserve"> determination may be affirmed, modified or reve</w:t>
      </w:r>
      <w:r w:rsidR="0000003B">
        <w:t xml:space="preserve">rsed by a majority vote of the </w:t>
      </w:r>
      <w:r w:rsidR="00287F8A">
        <w:t xml:space="preserve">Voting </w:t>
      </w:r>
      <w:r w:rsidR="0000003B">
        <w:t>M</w:t>
      </w:r>
      <w:r w:rsidR="0000003B" w:rsidRPr="0000003B">
        <w:t>embers present at the membership meeting.</w:t>
      </w:r>
      <w:r w:rsidR="00540408">
        <w:t xml:space="preserve">  Additionally, u</w:t>
      </w:r>
      <w:r w:rsidR="00540408" w:rsidRPr="00540408">
        <w:t>pon writ</w:t>
      </w:r>
      <w:r w:rsidR="00CF435F">
        <w:t>ten request signed by a former M</w:t>
      </w:r>
      <w:r w:rsidR="00540408" w:rsidRPr="00540408">
        <w:t xml:space="preserve">ember and filed with the Secretary, the Board may, by the affirmative vote of </w:t>
      </w:r>
      <w:r w:rsidR="00540408">
        <w:t>2/3 of the directors</w:t>
      </w:r>
      <w:r w:rsidR="00CF435F">
        <w:t>, reinstate such former M</w:t>
      </w:r>
      <w:r w:rsidR="00540408" w:rsidRPr="00540408">
        <w:t>ember to membership upon such terms as the Board may deem appropriate.</w:t>
      </w:r>
      <w:r w:rsidR="0000003B">
        <w:t xml:space="preserve"> </w:t>
      </w:r>
    </w:p>
    <w:p w:rsidR="0000003B" w:rsidRDefault="0000003B"/>
    <w:p w:rsidR="00F55AE3" w:rsidRDefault="00F55AE3">
      <w:pPr>
        <w:pStyle w:val="BodyText"/>
      </w:pPr>
      <w:r>
        <w:tab/>
      </w:r>
      <w:r>
        <w:rPr>
          <w:b/>
          <w:bCs/>
        </w:rPr>
        <w:t xml:space="preserve">Section 2.07.  Annual Meeting.  </w:t>
      </w:r>
      <w:r>
        <w:t>The regular annual meeting of the Members shall be held at su</w:t>
      </w:r>
      <w:r w:rsidR="00801243">
        <w:t>ch time and place as the Board</w:t>
      </w:r>
      <w:r>
        <w:t xml:space="preserve"> may determine, for the purpose of electing directors, receiving a report on the activities and financial condition of </w:t>
      </w:r>
      <w:r w:rsidR="00D53877">
        <w:t>the UCA</w:t>
      </w:r>
      <w:r>
        <w:t>, and for the transaction of such other business as shall come before the meeting.</w:t>
      </w:r>
    </w:p>
    <w:p w:rsidR="00F55AE3" w:rsidRDefault="00F55AE3">
      <w:pPr>
        <w:pStyle w:val="BodyTextFJDblFirst5"/>
        <w:spacing w:line="240" w:lineRule="auto"/>
        <w:jc w:val="left"/>
      </w:pPr>
      <w:r>
        <w:rPr>
          <w:b/>
          <w:bCs/>
        </w:rPr>
        <w:t>Section 2.08.  Special Meetings.</w:t>
      </w:r>
      <w:r>
        <w:t xml:space="preserve">  Special meetings of the Members shall be held whenever called by the Board of Directors.  If at least ten percent of the Members, or 50 Members, whichever is less, sign, date and deliver to the President or the Secretary one or more written demands or demands sent through an electronic communication for a meeting describing the purpose for which it is to be held, the Board of Directors shall cause a special meeting to be called and</w:t>
      </w:r>
      <w:r w:rsidR="003D076B">
        <w:t xml:space="preserve"> held on notice no later than 90</w:t>
      </w:r>
      <w:r>
        <w:t xml:space="preserve"> days after the receipt of the demand.</w:t>
      </w:r>
    </w:p>
    <w:p w:rsidR="00F55AE3" w:rsidRDefault="00F55AE3">
      <w:pPr>
        <w:pStyle w:val="BodyTextFJDblFirst5"/>
        <w:spacing w:line="240" w:lineRule="auto"/>
        <w:jc w:val="left"/>
      </w:pPr>
    </w:p>
    <w:p w:rsidR="00F55AE3" w:rsidRDefault="00F55AE3">
      <w:pPr>
        <w:pStyle w:val="BodyTextFJDblFirst5"/>
        <w:spacing w:line="240" w:lineRule="auto"/>
        <w:jc w:val="left"/>
      </w:pPr>
      <w:r>
        <w:rPr>
          <w:b/>
          <w:bCs/>
        </w:rPr>
        <w:t>Section 2.09.  Notice.</w:t>
      </w:r>
      <w:r>
        <w:t xml:space="preserve">  Notice of a meeting of the Members shall be </w:t>
      </w:r>
      <w:r w:rsidR="00F56E90">
        <w:t xml:space="preserve">provided in a fair and reasonable manner, which shall include posting the notice on the website of the Utah Chess Association and/or including the notice within the tournament publicity for a tournament held in conjunction with the meeting.  </w:t>
      </w:r>
      <w:r>
        <w:t>If a special meeting is demanded by the Members, the meeting must be held in</w:t>
      </w:r>
      <w:r w:rsidR="00AA6452">
        <w:t xml:space="preserve"> Salt Lake County</w:t>
      </w:r>
      <w:r>
        <w:t>.  The business transacted at a special meeting is limited to the purposes stated within the notice of the meeting.  A Member may waive notice of a meeting of Members.  A waiver of notice by a Member entitled to notice is effective whether given before, at, or after the meeting, and whether given in writing, by electronic communication, orally, or by attendance.  Attendance by a Member at a meeting is a waiver of notice of that meeting, unless the Member objects at the beginning of the meeting to the transaction of business because the meeting is not lawfully called or convened, or objects before a vote on an item of business because the item may not lawfully be considered at that meeting and does not participate in the consideration of the item at that meeting.</w:t>
      </w:r>
    </w:p>
    <w:p w:rsidR="00F55AE3" w:rsidRDefault="00F55AE3">
      <w:pPr>
        <w:pStyle w:val="BodyTextFJDblFirst5"/>
        <w:spacing w:line="240" w:lineRule="auto"/>
        <w:jc w:val="left"/>
      </w:pPr>
    </w:p>
    <w:p w:rsidR="00F55AE3" w:rsidRDefault="00F55AE3">
      <w:pPr>
        <w:pStyle w:val="BodyTextFJDblFirst5"/>
        <w:spacing w:line="240" w:lineRule="auto"/>
        <w:jc w:val="left"/>
      </w:pPr>
      <w:r>
        <w:rPr>
          <w:b/>
          <w:bCs/>
        </w:rPr>
        <w:t>Section 2.10.  Meetings Conducted Solely Through Electronic Communication.</w:t>
      </w:r>
      <w:r w:rsidR="00AA6452">
        <w:t xml:space="preserve">  The Board</w:t>
      </w:r>
      <w:r>
        <w:t xml:space="preserve"> may specify that a meeting will be conducted solely through one or more means of Remote Communication, provided that proper notice is given and that the quorum requirements are met.  Remote communication includes any communication that is accomplished by means of electronics, telephone, video or Internet conferencing, or such other means through which persons not physically present in the same location may communicate with each other on a </w:t>
      </w:r>
      <w:r>
        <w:lastRenderedPageBreak/>
        <w:t>substantially simultaneous basis (“</w:t>
      </w:r>
      <w:r w:rsidRPr="00AA6452">
        <w:rPr>
          <w:u w:val="single"/>
        </w:rPr>
        <w:t>Remote Communication</w:t>
      </w:r>
      <w:r>
        <w:t xml:space="preserve">”).  Participation in a meeting through a form of Remote Communication that is authorized by the </w:t>
      </w:r>
      <w:r w:rsidR="00AA6452">
        <w:t xml:space="preserve">Board </w:t>
      </w:r>
      <w:r>
        <w:t xml:space="preserve">constitutes a personal presence at a meeting.  </w:t>
      </w:r>
    </w:p>
    <w:p w:rsidR="00F55AE3" w:rsidRDefault="00F55AE3">
      <w:pPr>
        <w:pStyle w:val="BodyTextFJDblFirst5"/>
        <w:spacing w:line="240" w:lineRule="auto"/>
        <w:jc w:val="left"/>
      </w:pPr>
    </w:p>
    <w:p w:rsidR="00F55AE3" w:rsidRDefault="00F55AE3">
      <w:pPr>
        <w:pStyle w:val="BodyTextFJDblFirst5"/>
        <w:spacing w:line="240" w:lineRule="auto"/>
        <w:jc w:val="left"/>
      </w:pPr>
      <w:r>
        <w:rPr>
          <w:b/>
          <w:bCs/>
        </w:rPr>
        <w:t>Section 2.11.  Attendance and Participation in Meetings by Means of Remote Communication.</w:t>
      </w:r>
      <w:r w:rsidR="00AA6452">
        <w:t xml:space="preserve">  The Board</w:t>
      </w:r>
      <w:r>
        <w:t xml:space="preserve"> may authorize attendance and participation by individual Members at meetings through one or more means of Remote Communication.  Participation in a meeting through a form of Remote Communi</w:t>
      </w:r>
      <w:r w:rsidR="00AA6452">
        <w:t>cation authorized by the Board</w:t>
      </w:r>
      <w:r>
        <w:t xml:space="preserve"> constitutes personal presence at the meeting.</w:t>
      </w:r>
    </w:p>
    <w:p w:rsidR="00F55AE3" w:rsidRDefault="00F55AE3">
      <w:pPr>
        <w:pStyle w:val="BodyTextFJDblFirst5"/>
        <w:spacing w:line="240" w:lineRule="auto"/>
        <w:jc w:val="left"/>
      </w:pPr>
    </w:p>
    <w:p w:rsidR="00F55AE3" w:rsidRDefault="00F55AE3">
      <w:pPr>
        <w:pStyle w:val="BodyTextFJDblFirst5"/>
        <w:spacing w:line="240" w:lineRule="auto"/>
        <w:jc w:val="left"/>
      </w:pPr>
      <w:r>
        <w:rPr>
          <w:b/>
          <w:bCs/>
        </w:rPr>
        <w:t>Section 2.12.  Quorum</w:t>
      </w:r>
      <w:r w:rsidR="00A86C9B">
        <w:rPr>
          <w:b/>
          <w:bCs/>
        </w:rPr>
        <w:t xml:space="preserve"> and Voting</w:t>
      </w:r>
      <w:r>
        <w:rPr>
          <w:b/>
          <w:bCs/>
        </w:rPr>
        <w:t>.</w:t>
      </w:r>
      <w:r>
        <w:t xml:space="preserve">  Except as otherwise required by statute or by these Bylaws, at least </w:t>
      </w:r>
      <w:r w:rsidR="00976B9D">
        <w:t>10 Members</w:t>
      </w:r>
      <w:r>
        <w:t xml:space="preserve"> shall be required to constitute a quorum for the transaction of business at any </w:t>
      </w:r>
      <w:r w:rsidR="00976B9D">
        <w:t xml:space="preserve">annual </w:t>
      </w:r>
      <w:r>
        <w:t>meeting</w:t>
      </w:r>
      <w:r w:rsidR="00976B9D">
        <w:t xml:space="preserve"> and at least 30 Members shall be required to constitute a quorum for the transaction of business at any special meeting</w:t>
      </w:r>
      <w:r>
        <w:t xml:space="preserve">.  </w:t>
      </w:r>
      <w:r w:rsidR="00A86C9B">
        <w:t>Any current Member who is at least 16 years old as the date of the meeting is entitled to vote at such meeting (such members, the “</w:t>
      </w:r>
      <w:r w:rsidR="00A86C9B" w:rsidRPr="00A86C9B">
        <w:rPr>
          <w:u w:val="single"/>
        </w:rPr>
        <w:t>Voting Members</w:t>
      </w:r>
      <w:r w:rsidR="00A86C9B">
        <w:t xml:space="preserve">”).   </w:t>
      </w:r>
      <w:r>
        <w:t xml:space="preserve">The act of a majority of the </w:t>
      </w:r>
      <w:r w:rsidR="00A86C9B">
        <w:t xml:space="preserve">Voting </w:t>
      </w:r>
      <w:r>
        <w:t xml:space="preserve">Members present at any duly held meeting at which a quorum is present, shall be the act of the Members.  In the absence of a quorum, a majority of the </w:t>
      </w:r>
      <w:r w:rsidR="00A86C9B">
        <w:t xml:space="preserve">Voting </w:t>
      </w:r>
      <w:r>
        <w:t>Members present may adjourn a meeting from time to time until a quorum is present.  Except as required by law, notice of any adjourned meeting need not be given, other than by announcement at the meeting at which adjournment is taken.  If a quorum is present when a duly called or held meeting is convened, the Members present may continue to transact business until adjournment, even though the withdrawal of Members originally present leaves less than the number otherwise required for a quorum.</w:t>
      </w:r>
    </w:p>
    <w:p w:rsidR="00F55AE3" w:rsidRDefault="00F55AE3">
      <w:pPr>
        <w:pStyle w:val="BodyTextFJDblFirst5"/>
        <w:spacing w:line="240" w:lineRule="auto"/>
        <w:jc w:val="left"/>
      </w:pPr>
    </w:p>
    <w:p w:rsidR="00F55AE3" w:rsidRDefault="00F55AE3">
      <w:pPr>
        <w:pStyle w:val="BodyTextFJDblFirst5"/>
        <w:spacing w:line="240" w:lineRule="auto"/>
        <w:jc w:val="left"/>
      </w:pPr>
      <w:r>
        <w:rPr>
          <w:b/>
          <w:bCs/>
        </w:rPr>
        <w:t>Section 2.13.  Proxy Voting.</w:t>
      </w:r>
      <w:r>
        <w:t xml:space="preserve">  Proxy voting shall not be permitted.</w:t>
      </w:r>
    </w:p>
    <w:p w:rsidR="00F55AE3" w:rsidRDefault="00F55AE3">
      <w:pPr>
        <w:pStyle w:val="BodyTextFJDblFirst5"/>
        <w:spacing w:line="240" w:lineRule="auto"/>
        <w:jc w:val="left"/>
      </w:pPr>
    </w:p>
    <w:p w:rsidR="00F55AE3" w:rsidRDefault="00F55AE3">
      <w:pPr>
        <w:pStyle w:val="List"/>
      </w:pPr>
    </w:p>
    <w:p w:rsidR="00F55AE3" w:rsidRDefault="00F55AE3">
      <w:pPr>
        <w:pStyle w:val="Heading2"/>
        <w:spacing w:after="0"/>
        <w:jc w:val="center"/>
      </w:pPr>
      <w:r>
        <w:t>ARTICLE III</w:t>
      </w:r>
    </w:p>
    <w:p w:rsidR="00F55AE3" w:rsidRDefault="00F55AE3">
      <w:pPr>
        <w:pStyle w:val="Heading2"/>
        <w:spacing w:after="0"/>
        <w:jc w:val="center"/>
      </w:pPr>
      <w:r>
        <w:t>BOARD OF DIRECTORS</w:t>
      </w:r>
    </w:p>
    <w:p w:rsidR="00F55AE3" w:rsidRDefault="00F55AE3">
      <w:pPr>
        <w:pStyle w:val="Heading2"/>
      </w:pPr>
    </w:p>
    <w:p w:rsidR="00F55AE3" w:rsidRDefault="00F55AE3">
      <w:r>
        <w:rPr>
          <w:b/>
        </w:rPr>
        <w:tab/>
        <w:t>Section 3.01  General Powers.</w:t>
      </w:r>
      <w:r>
        <w:t xml:space="preserve">  The property, business, and affairs of </w:t>
      </w:r>
      <w:r w:rsidR="00D53877">
        <w:t>the UCA</w:t>
      </w:r>
      <w:r>
        <w:t xml:space="preserve"> shall be managed by or under the direction of the Board of Directors.</w:t>
      </w:r>
    </w:p>
    <w:p w:rsidR="00F55AE3" w:rsidRDefault="00F55AE3"/>
    <w:p w:rsidR="00F55AE3" w:rsidRDefault="00F55AE3">
      <w:r>
        <w:tab/>
      </w:r>
      <w:r>
        <w:rPr>
          <w:b/>
        </w:rPr>
        <w:t>Section 3.02.  Number, Qualifications, Term of Office, and Election.</w:t>
      </w:r>
      <w:r>
        <w:t xml:space="preserve">  The number of d</w:t>
      </w:r>
      <w:r w:rsidR="00CF668C">
        <w:t>irectors initially shall be seven</w:t>
      </w:r>
      <w:r>
        <w:t>, but may be amended by affirm</w:t>
      </w:r>
      <w:r w:rsidR="00A86C9B">
        <w:t>ative vote of a majority of the directors</w:t>
      </w:r>
      <w:r>
        <w:t>, provided that the number of directors shall not be less than three.  Directors must be natural persons and a majority of the directors must be adults.  Each director sha</w:t>
      </w:r>
      <w:r w:rsidR="00CF668C">
        <w:t>ll hold office for a term of two</w:t>
      </w:r>
      <w:r>
        <w:t xml:space="preserve"> year</w:t>
      </w:r>
      <w:r w:rsidR="00CF668C">
        <w:t>s</w:t>
      </w:r>
      <w:r>
        <w:t xml:space="preserve"> and through the adjournment of the meeting at which successor directors are elected, and until a successor is elected and qualified, or until the earlier death, resignation, or removal of the director.  </w:t>
      </w:r>
      <w:r w:rsidR="0032517C">
        <w:t xml:space="preserve">The Board of Directors shall be divided into two classes as nearly equal in number as possible, designated as Class I and Class II.   </w:t>
      </w:r>
      <w:r w:rsidR="0064716B">
        <w:t xml:space="preserve">Initially Class I shall consist of 3 directors and Class II shall consist of 4 directors.   </w:t>
      </w:r>
      <w:r>
        <w:t>At each annual meeting</w:t>
      </w:r>
      <w:r w:rsidR="0032517C">
        <w:t xml:space="preserve"> occurring in an odd numbered year</w:t>
      </w:r>
      <w:r>
        <w:t xml:space="preserve">, the Members shall elect the </w:t>
      </w:r>
      <w:r w:rsidR="0032517C">
        <w:t xml:space="preserve">Class I </w:t>
      </w:r>
      <w:r>
        <w:t>directors for the following year.</w:t>
      </w:r>
      <w:r w:rsidR="0064716B">
        <w:t xml:space="preserve">  At each annual meeting occurring in an even numbered year, the Members shall elect the Class II directors.</w:t>
      </w:r>
    </w:p>
    <w:p w:rsidR="00F55AE3" w:rsidRDefault="00F55AE3"/>
    <w:p w:rsidR="00F55AE3" w:rsidRDefault="00F55AE3">
      <w:r>
        <w:lastRenderedPageBreak/>
        <w:tab/>
      </w:r>
      <w:r>
        <w:rPr>
          <w:b/>
        </w:rPr>
        <w:t>Section 3.03.  Resignation.</w:t>
      </w:r>
      <w:r>
        <w:t xml:space="preserve">  A director may resign at any time by giving notice to </w:t>
      </w:r>
      <w:r w:rsidR="00D53877">
        <w:t>the UCA</w:t>
      </w:r>
      <w:r>
        <w:t xml:space="preserve">.  The resignation of a director is effective without acceptance when the notice is given to </w:t>
      </w:r>
      <w:r w:rsidR="00D53877">
        <w:t>the UCA</w:t>
      </w:r>
      <w:r>
        <w:t>, unless a later effective time is specified in the notice.  Written notice or an electronic communication may satisfy the notice requirement.</w:t>
      </w:r>
    </w:p>
    <w:p w:rsidR="00F55AE3" w:rsidRDefault="00F55AE3"/>
    <w:p w:rsidR="00F55AE3" w:rsidRDefault="00F55AE3">
      <w:r>
        <w:tab/>
      </w:r>
      <w:r>
        <w:rPr>
          <w:b/>
        </w:rPr>
        <w:t>Section 3.04.  Removal of Directors.</w:t>
      </w:r>
      <w:r>
        <w:t xml:space="preserve">  A director, may be removed at any time, with or without cause, by the affirmative vote of</w:t>
      </w:r>
      <w:r w:rsidR="006B7838">
        <w:t xml:space="preserve"> 2/3</w:t>
      </w:r>
      <w:r w:rsidR="0064716B">
        <w:t xml:space="preserve"> of the directors</w:t>
      </w:r>
      <w:r w:rsidR="0000003B">
        <w:t xml:space="preserve"> </w:t>
      </w:r>
      <w:r w:rsidR="0000003B" w:rsidRPr="0000003B">
        <w:t>at a meeting called for that purpose</w:t>
      </w:r>
      <w:r>
        <w:t>.</w:t>
      </w:r>
    </w:p>
    <w:p w:rsidR="00F55AE3" w:rsidRDefault="00F55AE3"/>
    <w:p w:rsidR="00F55AE3" w:rsidRDefault="00F55AE3">
      <w:r>
        <w:tab/>
      </w:r>
      <w:r>
        <w:rPr>
          <w:b/>
        </w:rPr>
        <w:t>Section 3.05.  Vacancies.</w:t>
      </w:r>
      <w:r>
        <w:t xml:space="preserve">  Any vacancy in the Board of Directors caused by death, resignation, removal, an increase in the number of directors, expiration of term, or any other cause, shall be filled by the affirmative v</w:t>
      </w:r>
      <w:r w:rsidR="0064716B">
        <w:t>ote of a majority of the directors</w:t>
      </w:r>
      <w:r>
        <w:t xml:space="preserve"> and the term of the director filling the vacancy shall expire at the end of the term the director is filling.</w:t>
      </w:r>
    </w:p>
    <w:p w:rsidR="00F55AE3" w:rsidRDefault="00F55AE3"/>
    <w:p w:rsidR="00F55AE3" w:rsidRDefault="00F55AE3">
      <w:r>
        <w:tab/>
      </w:r>
      <w:r>
        <w:rPr>
          <w:b/>
        </w:rPr>
        <w:t>Section 3.06.  Time, Place and Manner of Meetings.</w:t>
      </w:r>
      <w:r>
        <w:t xml:space="preserve">  The Board of Directors may hold its meetings at such time and place, and in such manner as it may from time to time determine.  </w:t>
      </w:r>
    </w:p>
    <w:p w:rsidR="00F55AE3" w:rsidRDefault="00F55AE3"/>
    <w:p w:rsidR="00F55AE3" w:rsidRDefault="00F55AE3">
      <w:r>
        <w:tab/>
      </w:r>
      <w:r>
        <w:rPr>
          <w:b/>
          <w:bCs/>
        </w:rPr>
        <w:t>Section 3.07.  Meetings Conducted Solely Through Means of Remote Communication.</w:t>
      </w:r>
      <w:r>
        <w:t xml:space="preserve">  The Board of Directors may specify that a meeting will be conducted solely through one or more means of remote communication, provided that notice is given, as specified in Section 3.12, and that the quorum requirements specified in Section 3.13 are met.  Remote communication includes any communication that is accomplished by means of electronics, telephone, video, or internet conferencing, or such other means through which persons not physically present in the same location may communicate with each other on a substantially simultaneous basis.  Participation in a meeting through a form of remote communication that is authorized by the Board of Directors constitutes personal presence at the meeting.</w:t>
      </w:r>
    </w:p>
    <w:p w:rsidR="00F55AE3" w:rsidRDefault="00F55AE3"/>
    <w:p w:rsidR="00F55AE3" w:rsidRDefault="00F55AE3">
      <w:r>
        <w:tab/>
      </w:r>
      <w:r>
        <w:rPr>
          <w:b/>
          <w:bCs/>
        </w:rPr>
        <w:t>Section 3.08.  Attendance and Participation in Meetings by Means of Remote Communication.</w:t>
      </w:r>
      <w:r>
        <w:t xml:space="preserve">  The Board of Directors may authorize individual attendance and participation by Board members at meetings through one or more means of remote communication.  Participation in a meeting through a form of remote communication authorized by the Board of Directors constitutes personal presence at the meeting.</w:t>
      </w:r>
    </w:p>
    <w:p w:rsidR="00F55AE3" w:rsidRDefault="00F55AE3"/>
    <w:p w:rsidR="00F55AE3" w:rsidRDefault="00F55AE3">
      <w:r>
        <w:tab/>
      </w:r>
      <w:r>
        <w:rPr>
          <w:b/>
        </w:rPr>
        <w:t>Section 3.09.  Annual Meeting.</w:t>
      </w:r>
      <w:r>
        <w:t xml:space="preserve">  The annual meeting of the Board of Directors shall be held each year, at such time, place and in such manner as the Board may determine, for the purpose of electing officers and for the transaction of such other business as shall come before the meeting.</w:t>
      </w:r>
    </w:p>
    <w:p w:rsidR="00F55AE3" w:rsidRDefault="00F55AE3"/>
    <w:p w:rsidR="00F55AE3" w:rsidRDefault="00F55AE3">
      <w:r>
        <w:tab/>
      </w:r>
      <w:r>
        <w:rPr>
          <w:b/>
        </w:rPr>
        <w:t>Section 3.10.  Regular Meetings.</w:t>
      </w:r>
      <w:r>
        <w:t xml:space="preserve">  Regular meetings of the Board of Directors shall be held from time to time, at such times and places and in such manner as the Board may determine.</w:t>
      </w:r>
    </w:p>
    <w:p w:rsidR="00F55AE3" w:rsidRDefault="00F55AE3"/>
    <w:p w:rsidR="00F55AE3" w:rsidRDefault="00F55AE3">
      <w:r>
        <w:tab/>
      </w:r>
      <w:r>
        <w:rPr>
          <w:b/>
        </w:rPr>
        <w:t>Section 3.11.  Special Meetings.</w:t>
      </w:r>
      <w:r>
        <w:t xml:space="preserve">  Special meetings of the Board of Directors shall be held whenever called by the President or by any one of the directors, and shall be held at such times and places and in such manner as the Board may determine.</w:t>
      </w:r>
    </w:p>
    <w:p w:rsidR="00F55AE3" w:rsidRDefault="00F55AE3"/>
    <w:p w:rsidR="00F55AE3" w:rsidRDefault="00F55AE3">
      <w:r>
        <w:tab/>
      </w:r>
      <w:r>
        <w:rPr>
          <w:b/>
          <w:bCs/>
        </w:rPr>
        <w:t>Section 3.12.</w:t>
      </w:r>
      <w:r>
        <w:t xml:space="preserve">  </w:t>
      </w:r>
      <w:r>
        <w:rPr>
          <w:b/>
          <w:bCs/>
        </w:rPr>
        <w:t>Notice.</w:t>
      </w:r>
      <w:r>
        <w:tab/>
        <w:t xml:space="preserve">  Notice of a meeting shall be mailed to each director, addressed to the director at his or her residence or usual place of business at least five days before the day on </w:t>
      </w:r>
      <w:bookmarkStart w:id="0" w:name="_GoBack"/>
      <w:bookmarkEnd w:id="0"/>
      <w:r>
        <w:lastRenderedPageBreak/>
        <w:t>which the meeting is to be held, or delivered personally or by telephone, facsimile transmission, or electronic communication, not later than two days before the day on which the meeting is to be held, however, notice need not be given if the date, time and place of the meeting were announced at a previous Board meeting.  The notice shall state the time, place and manner of the meeting, but need not state the purposes thereof.  Notice will be deemed waived by any director who attends the meeting in person or participates in the meeting via remote communication, unless the director objects at the beginning of the meeting that the meeting is not lawfully called or convened and does not participate in the meeting.  Notice also may be deemed waived if the director consents to such waiver of notice in writing or by electronic communication before, after or during the meeting.</w:t>
      </w:r>
    </w:p>
    <w:p w:rsidR="00F55AE3" w:rsidRDefault="00F55AE3"/>
    <w:p w:rsidR="00F55AE3" w:rsidRDefault="00F55AE3">
      <w:r>
        <w:tab/>
      </w:r>
      <w:r>
        <w:rPr>
          <w:b/>
        </w:rPr>
        <w:t>Section 3.13.  Quorum.</w:t>
      </w:r>
      <w:r>
        <w:t xml:space="preserve">  Except as otherwise provided by statute or by these Bylaws, a majority of the directors currently holding office shall be required to constitute a quorum for the transaction of business at any meeting.  The act of a majority of the directors present at any duly held meeting at which a quorum is present shall be the act of the Board of Directors.  In the absence of a quorum, a majority of the directors present may adjourn a meeting from time to time until a quorum is present.  Notice of any adjourned meeting need not be given, other than by announcement at the meeting at which adjournment is taken.  If a quorum is present when a duly called or held meeting is convened, the directors present may continue to transact business until adjournment, even though the withdrawal of directors originally present leaves less than the number otherwise required for a quorum; provided, however, that the affirmative vote of a majority of the required quorum is required to take any action other than adjournment.</w:t>
      </w:r>
    </w:p>
    <w:p w:rsidR="00F55AE3" w:rsidRDefault="00F55AE3"/>
    <w:p w:rsidR="00F55AE3" w:rsidRDefault="00F55AE3">
      <w:r>
        <w:tab/>
      </w:r>
      <w:r>
        <w:rPr>
          <w:b/>
        </w:rPr>
        <w:t>Section 3.14.  Proxy Voting.</w:t>
      </w:r>
      <w:r>
        <w:t xml:space="preserve">  Proxy voting shall not be permitted.</w:t>
      </w:r>
    </w:p>
    <w:p w:rsidR="00F55AE3" w:rsidRDefault="00F55AE3"/>
    <w:p w:rsidR="00F55AE3" w:rsidRDefault="00F55AE3">
      <w:r>
        <w:tab/>
      </w:r>
      <w:r>
        <w:rPr>
          <w:b/>
        </w:rPr>
        <w:t>Section 3.15.  Action Without Meeting.</w:t>
      </w:r>
      <w:r>
        <w:t xml:space="preserve">  Any action that may be taken at a meeting of the Board of Directors may be taken without a meeting, </w:t>
      </w:r>
      <w:r>
        <w:rPr>
          <w:rFonts w:ascii="SpektroGothic-Regular" w:hAnsi="SpektroGothic-Regular"/>
        </w:rPr>
        <w:t>when authorized in a written action signed or consented to in an electronic communication</w:t>
      </w:r>
      <w:r>
        <w:t>.</w:t>
      </w:r>
    </w:p>
    <w:p w:rsidR="00F55AE3" w:rsidRDefault="00F55AE3"/>
    <w:p w:rsidR="00F55AE3" w:rsidRDefault="00F55AE3">
      <w:r>
        <w:tab/>
      </w:r>
      <w:r>
        <w:rPr>
          <w:b/>
        </w:rPr>
        <w:t>Section 3.16.  Conflicts of Interest.</w:t>
      </w:r>
      <w:r>
        <w:t xml:space="preserve">  Except as permitted by law, with respect to any contract or other transaction between </w:t>
      </w:r>
      <w:r w:rsidR="00D53877">
        <w:t>the UCA</w:t>
      </w:r>
      <w:r>
        <w:t xml:space="preserve"> and any director (or an organization in which a director is a director, member, officer or legal representative or has a material financial interest): (a) the material facts as to such contract or transaction and as to the person’s interest must be fully disclosed or known to the Board of Directors prior to approval of such contract or transaction; (b) such approval shall require the affirmative vote of a majority of the directors, not counting any vote that the interested director otherwise might have; and (c) an interested director shall not be counted in determining the presence of a quorum. </w:t>
      </w:r>
    </w:p>
    <w:p w:rsidR="00F55AE3" w:rsidRDefault="00F55AE3"/>
    <w:p w:rsidR="00F55AE3" w:rsidRDefault="00F55AE3">
      <w:pPr>
        <w:pStyle w:val="Heading2"/>
        <w:spacing w:after="0"/>
        <w:jc w:val="center"/>
      </w:pPr>
      <w:r>
        <w:t>ARTICLE IV</w:t>
      </w:r>
    </w:p>
    <w:p w:rsidR="00F55AE3" w:rsidRDefault="00F55AE3">
      <w:pPr>
        <w:pStyle w:val="Heading2"/>
        <w:spacing w:after="0"/>
        <w:jc w:val="center"/>
      </w:pPr>
      <w:r>
        <w:t>OFFICERS</w:t>
      </w:r>
    </w:p>
    <w:p w:rsidR="00F55AE3" w:rsidRDefault="00F55AE3">
      <w:pPr>
        <w:pStyle w:val="Heading2"/>
      </w:pPr>
    </w:p>
    <w:p w:rsidR="00F55AE3" w:rsidRDefault="00F55AE3">
      <w:r>
        <w:rPr>
          <w:b/>
        </w:rPr>
        <w:tab/>
        <w:t>Section 4.01.  Number and Qualifications.</w:t>
      </w:r>
      <w:r>
        <w:t xml:space="preserve">  The officers of </w:t>
      </w:r>
      <w:r w:rsidR="00D53877">
        <w:t>the UCA</w:t>
      </w:r>
      <w:r>
        <w:t xml:space="preserve"> shall be a President, one or more Vice Presidents if elected by the Board of Directors, a Secretary, a Treasurer, and such other officers as may be elected by the Board of Directors.  Any number of offices may be held by the same person.  Officers shall be natural persons.</w:t>
      </w:r>
    </w:p>
    <w:p w:rsidR="00F55AE3" w:rsidRDefault="00F55AE3">
      <w:pPr>
        <w:pStyle w:val="List"/>
      </w:pPr>
    </w:p>
    <w:p w:rsidR="00F55AE3" w:rsidRDefault="00F55AE3">
      <w:r>
        <w:lastRenderedPageBreak/>
        <w:tab/>
      </w:r>
      <w:r>
        <w:rPr>
          <w:b/>
        </w:rPr>
        <w:t>Section 4.02.  Election and Term of Office.</w:t>
      </w:r>
      <w:r>
        <w:t xml:space="preserve">  Officers shall be elected annually by the Board of Directors, and, except in the case of officers appointed in accordance with the provisions of Section 4.10, each shall hold office until the next annual election of officers and until a successor is elected and qualified, or until the earlier death, resignation, or removal of the officer.</w:t>
      </w:r>
    </w:p>
    <w:p w:rsidR="00F55AE3" w:rsidRDefault="00F55AE3"/>
    <w:p w:rsidR="00F55AE3" w:rsidRDefault="00F55AE3">
      <w:r>
        <w:tab/>
      </w:r>
      <w:r>
        <w:rPr>
          <w:b/>
        </w:rPr>
        <w:t>Section 4.03.  Resignations.</w:t>
      </w:r>
      <w:r>
        <w:t xml:space="preserve">  Except as otherwise provided in an employment contract, an officer may resign by giving notice to </w:t>
      </w:r>
      <w:r w:rsidR="00D53877">
        <w:t>the UCA</w:t>
      </w:r>
      <w:r>
        <w:t xml:space="preserve">.  The resignation is effective without acceptance when the notice is given to </w:t>
      </w:r>
      <w:r w:rsidR="00D53877">
        <w:t>the UCA</w:t>
      </w:r>
      <w:r>
        <w:t>, unless a later effective date is named in the notice.  Notice provided in writing or by an electronic communication may satisfy the notice requirement.</w:t>
      </w:r>
    </w:p>
    <w:p w:rsidR="00F55AE3" w:rsidRDefault="00F55AE3"/>
    <w:p w:rsidR="00F55AE3" w:rsidRDefault="00F55AE3">
      <w:r>
        <w:tab/>
      </w:r>
      <w:r>
        <w:rPr>
          <w:b/>
        </w:rPr>
        <w:t>Section 4.04.  Removal.</w:t>
      </w:r>
      <w:r>
        <w:t xml:space="preserve">  An officer may be removed, with or without cause, by a resolution adopted by the Board of Directors.</w:t>
      </w:r>
    </w:p>
    <w:p w:rsidR="00F55AE3" w:rsidRDefault="00F55AE3"/>
    <w:p w:rsidR="00F55AE3" w:rsidRDefault="00F55AE3">
      <w:r>
        <w:tab/>
      </w:r>
      <w:r>
        <w:rPr>
          <w:b/>
        </w:rPr>
        <w:t>Section 4.05.  Vacancies.</w:t>
      </w:r>
      <w:r>
        <w:t xml:space="preserve">  A vacancy in an office because of death, resignation, removal, or any other cause shall be filled for the unexpired part of the term in the manner prescribed in these Bylaws for election to such office.</w:t>
      </w:r>
    </w:p>
    <w:p w:rsidR="00F55AE3" w:rsidRDefault="00F55AE3"/>
    <w:p w:rsidR="00F55AE3" w:rsidRDefault="00F55AE3">
      <w:r>
        <w:tab/>
      </w:r>
      <w:r>
        <w:rPr>
          <w:b/>
        </w:rPr>
        <w:t>Section 4.06.  President.</w:t>
      </w:r>
      <w:r>
        <w:t xml:space="preserve">  The President shall:  (a) have general active management of the business of </w:t>
      </w:r>
      <w:r w:rsidR="00D53877">
        <w:t>the UCA</w:t>
      </w:r>
      <w:r>
        <w:t xml:space="preserve">; (b) when present, preside at meetings of the Board of Directors; (c) see that orders and resolutions of the Board of Directors are carried into effect; (d) sign and deliver in the name of </w:t>
      </w:r>
      <w:r w:rsidR="00D53877">
        <w:t>the UCA</w:t>
      </w:r>
      <w:r>
        <w:t xml:space="preserve"> deeds, mortgages, bonds, contracts, or other instruments pertaining to the business of </w:t>
      </w:r>
      <w:r w:rsidR="00D53877">
        <w:t>the UCA</w:t>
      </w:r>
      <w:r>
        <w:t xml:space="preserve">, except in cases in which the authority to sign and deliver is required by law to be exercised by another person or is expressly delegated by the Articles of Incorporation or Bylaws or by the Board of Directors to another officer or agent of </w:t>
      </w:r>
      <w:r w:rsidR="00D53877">
        <w:t>the UCA</w:t>
      </w:r>
      <w:r>
        <w:t>; and (e) perform such other duties as may from time to time be prescribed by the Board of Directors.</w:t>
      </w:r>
    </w:p>
    <w:p w:rsidR="00F55AE3" w:rsidRDefault="00F55AE3"/>
    <w:p w:rsidR="00F55AE3" w:rsidRDefault="00F55AE3">
      <w:r>
        <w:tab/>
      </w:r>
      <w:r>
        <w:rPr>
          <w:b/>
        </w:rPr>
        <w:t xml:space="preserve">Section 4.07.  Vice President.  </w:t>
      </w:r>
      <w:r>
        <w:t>In the absence of the President, or in the event of his/her inability or refusal to act, the Vice President (or in the event there be more than one Vice President, the Vice Presidents in the order of their election) shall perform the duties of the President, and when so acting, shall have all the powers of and be subject to all of the restrictions upon the President.  Any Vice President shall perform such other duties as shall from time to time be assigned by the Board of Directors.</w:t>
      </w:r>
    </w:p>
    <w:p w:rsidR="00F55AE3" w:rsidRDefault="00F55AE3"/>
    <w:p w:rsidR="00F55AE3" w:rsidRDefault="00F55AE3">
      <w:r>
        <w:tab/>
      </w:r>
      <w:r>
        <w:rPr>
          <w:b/>
        </w:rPr>
        <w:t>Section 4.08.  Secretary.</w:t>
      </w:r>
      <w:r>
        <w:t xml:space="preserve">  The Secretary shall:  (a) maintain records of and, when necessary, certify proceedings of the Board of Directors; (b) when directed to do so, give proper notice of meetings of the Board of Directors; and (c) perform such other duties as may from time to time be prescribed by the Board of Directors or by the President.</w:t>
      </w:r>
    </w:p>
    <w:p w:rsidR="00F55AE3" w:rsidRDefault="00F55AE3"/>
    <w:p w:rsidR="00F55AE3" w:rsidRDefault="00F55AE3">
      <w:r>
        <w:tab/>
      </w:r>
      <w:r>
        <w:rPr>
          <w:b/>
        </w:rPr>
        <w:t>Section 4.09.  Treasurer.</w:t>
      </w:r>
      <w:r>
        <w:t xml:space="preserve">  The Treasurer shall: (a) keep accurate financial records for </w:t>
      </w:r>
      <w:r w:rsidR="00D53877">
        <w:t>the UCA</w:t>
      </w:r>
      <w:r>
        <w:t xml:space="preserve">; (b) deposit money, drafts, and checks in the name of and to the credit of </w:t>
      </w:r>
      <w:r w:rsidR="00D53877">
        <w:t>the UCA</w:t>
      </w:r>
      <w:r>
        <w:t xml:space="preserve"> in the banks and depositaries designated by the Board of Directors; (c) endorse for deposit notes, checks, and drafts received by </w:t>
      </w:r>
      <w:r w:rsidR="00D53877">
        <w:t>the UCA</w:t>
      </w:r>
      <w:r>
        <w:t xml:space="preserve"> as ordered by the Board of Directors, making proper vouchers for the deposit; (d) disburse corporate funds and issue checks and drafts in the name of </w:t>
      </w:r>
      <w:r w:rsidR="00D53877">
        <w:t>the UCA</w:t>
      </w:r>
      <w:r>
        <w:t xml:space="preserve">, as ordered by the Board of Directors; (e) upon request, provide the President and the </w:t>
      </w:r>
      <w:r>
        <w:lastRenderedPageBreak/>
        <w:t xml:space="preserve">Board of Directors an account of transactions by the Treasurer and of the financial condition of </w:t>
      </w:r>
      <w:r w:rsidR="00D53877">
        <w:t>the UCA</w:t>
      </w:r>
      <w:r>
        <w:t>; and (f) perform such other duties as may from time to time be prescribed by the Board of Directors or by the President.</w:t>
      </w:r>
    </w:p>
    <w:p w:rsidR="00F55AE3" w:rsidRDefault="00F55AE3"/>
    <w:p w:rsidR="00F55AE3" w:rsidRDefault="00F55AE3">
      <w:r>
        <w:tab/>
      </w:r>
      <w:r>
        <w:rPr>
          <w:b/>
        </w:rPr>
        <w:t>Section 4.10.  Other Officers.</w:t>
      </w:r>
      <w:r>
        <w:t xml:space="preserve">  </w:t>
      </w:r>
      <w:r w:rsidR="00D53877">
        <w:t>The UCA</w:t>
      </w:r>
      <w:r>
        <w:t xml:space="preserve"> may have such other officers and agents as the Board of Directors considers necessary for the operation and management of </w:t>
      </w:r>
      <w:r w:rsidR="00D53877">
        <w:t>the UCA</w:t>
      </w:r>
      <w:r>
        <w:t>, each of whom shall have the powers, rights, duties, responsibilities, and terms in office as may be determined by resolution of the Board of Directors.</w:t>
      </w:r>
    </w:p>
    <w:p w:rsidR="00F55AE3" w:rsidRDefault="00F55AE3"/>
    <w:p w:rsidR="00F55AE3" w:rsidRDefault="00F55AE3">
      <w:r>
        <w:tab/>
      </w:r>
      <w:r>
        <w:rPr>
          <w:b/>
        </w:rPr>
        <w:t>Section 4.11.  Delegation.</w:t>
      </w:r>
      <w:r>
        <w:t xml:space="preserve">  Unless prohibited by a resolution adopted by the Board of Directors, an officer may, without the approval of the Board of Directors, delegate some or all the duties and powers of an office to other persons.</w:t>
      </w:r>
    </w:p>
    <w:p w:rsidR="00F55AE3" w:rsidRDefault="00F55AE3"/>
    <w:p w:rsidR="00F55AE3" w:rsidRDefault="00F55AE3">
      <w:pPr>
        <w:pStyle w:val="Heading2"/>
        <w:keepNext/>
        <w:keepLines/>
        <w:spacing w:after="0"/>
        <w:jc w:val="center"/>
      </w:pPr>
      <w:r>
        <w:t>ARTICLE V</w:t>
      </w:r>
    </w:p>
    <w:p w:rsidR="00F55AE3" w:rsidRDefault="00F55AE3">
      <w:pPr>
        <w:pStyle w:val="Heading2"/>
        <w:keepNext/>
        <w:keepLines/>
        <w:spacing w:after="0"/>
        <w:jc w:val="center"/>
      </w:pPr>
      <w:r>
        <w:t>COMMITTEES</w:t>
      </w:r>
    </w:p>
    <w:p w:rsidR="00F55AE3" w:rsidRDefault="00F55AE3">
      <w:pPr>
        <w:pStyle w:val="Heading2"/>
      </w:pPr>
    </w:p>
    <w:p w:rsidR="00F55AE3" w:rsidRDefault="00F55AE3">
      <w:r>
        <w:rPr>
          <w:b/>
        </w:rPr>
        <w:tab/>
        <w:t>Section 5.01.  Committees.</w:t>
      </w:r>
      <w:r>
        <w:t xml:space="preserve">  The Board of Directors may act by and through such committees as may be specified in resolutions approved by a majority of the total number of directors.</w:t>
      </w:r>
    </w:p>
    <w:p w:rsidR="00F55AE3" w:rsidRDefault="00F55AE3"/>
    <w:p w:rsidR="00F55AE3" w:rsidRDefault="00F55AE3">
      <w:r>
        <w:tab/>
      </w:r>
      <w:r>
        <w:rPr>
          <w:b/>
        </w:rPr>
        <w:t>Section 5.02.  Procedures.</w:t>
      </w:r>
      <w:r>
        <w:t xml:space="preserve">  The general procedures specified within Article III apply to committees and members of committees to the same extent as those sections apply to the Board of Directors.  Each committee shall prepare minutes of its meetings and shall furnish such minutes to the Board of Directors and to members of the committee.</w:t>
      </w:r>
    </w:p>
    <w:p w:rsidR="00440D8F" w:rsidRDefault="00440D8F"/>
    <w:p w:rsidR="00F55AE3" w:rsidRDefault="00882268">
      <w:pPr>
        <w:pStyle w:val="Heading2"/>
        <w:keepNext/>
        <w:spacing w:after="0"/>
        <w:jc w:val="center"/>
      </w:pPr>
      <w:r>
        <w:t>ARTICLE VI</w:t>
      </w:r>
    </w:p>
    <w:p w:rsidR="00F55AE3" w:rsidRDefault="00F55AE3">
      <w:pPr>
        <w:pStyle w:val="Heading2"/>
        <w:keepNext/>
        <w:spacing w:after="0"/>
        <w:jc w:val="center"/>
      </w:pPr>
      <w:r>
        <w:t>INDEMNIFICATION</w:t>
      </w:r>
    </w:p>
    <w:p w:rsidR="00F55AE3" w:rsidRDefault="00F55AE3">
      <w:pPr>
        <w:pStyle w:val="Heading2"/>
        <w:keepNext/>
      </w:pPr>
    </w:p>
    <w:p w:rsidR="00CB41DB" w:rsidRDefault="00F55AE3" w:rsidP="00CB41DB">
      <w:pPr>
        <w:keepNext/>
      </w:pPr>
      <w:r>
        <w:tab/>
      </w:r>
      <w:r w:rsidR="00CB41DB" w:rsidRPr="00CB41DB">
        <w:rPr>
          <w:b/>
        </w:rPr>
        <w:t xml:space="preserve">Section </w:t>
      </w:r>
      <w:r w:rsidR="00CB41DB">
        <w:rPr>
          <w:b/>
        </w:rPr>
        <w:t>6</w:t>
      </w:r>
      <w:r w:rsidR="00CB41DB" w:rsidRPr="00CB41DB">
        <w:rPr>
          <w:b/>
        </w:rPr>
        <w:t>.1</w:t>
      </w:r>
      <w:r w:rsidR="00CB41DB" w:rsidRPr="00CB41DB">
        <w:rPr>
          <w:b/>
        </w:rPr>
        <w:tab/>
        <w:t>Indemnification of Directors and Officers</w:t>
      </w:r>
      <w:r w:rsidR="00CB41DB">
        <w:t>.  To the maximum extent permitted by the Utah Revised Nonprofit Corporation Act (the “</w:t>
      </w:r>
      <w:r w:rsidR="00CB41DB" w:rsidRPr="00CB41DB">
        <w:rPr>
          <w:u w:val="single"/>
        </w:rPr>
        <w:t>Act</w:t>
      </w:r>
      <w:r w:rsidR="00CB41DB">
        <w:t>”) or any other applicable law, the corporation shall indemnify its directors and officers in all cases in which a corporation may indemnify a director or an officer.  Without limiting the foregoing, the corporation shall indemnify its directors and officers in all cases in which it may do so under Section 16-6a-902 of the Act.  This provision constitutes authorization of indemnification as contemplated in Section 16-6a-906 of the Act, so that the corporation can indemnify directors once a determination has been made in the specific case that indemnification is permissible in the circumstances because the directors have met the applicable standard of conduct set forth in Section 16-6a-902 of the Act.  The Corporation shall consider and act as expeditiously as possible on any and all requests by a director or an officer for indemnification.</w:t>
      </w:r>
    </w:p>
    <w:p w:rsidR="00CB41DB" w:rsidRDefault="00CB41DB" w:rsidP="00CB41DB">
      <w:pPr>
        <w:keepNext/>
      </w:pPr>
    </w:p>
    <w:p w:rsidR="00CB41DB" w:rsidRDefault="00CB41DB" w:rsidP="00CB41DB">
      <w:pPr>
        <w:keepNext/>
        <w:ind w:firstLine="720"/>
      </w:pPr>
      <w:r w:rsidRPr="00CB41DB">
        <w:rPr>
          <w:b/>
        </w:rPr>
        <w:t xml:space="preserve">Section </w:t>
      </w:r>
      <w:r>
        <w:rPr>
          <w:b/>
        </w:rPr>
        <w:t>6</w:t>
      </w:r>
      <w:r w:rsidRPr="00CB41DB">
        <w:rPr>
          <w:b/>
        </w:rPr>
        <w:t>.2</w:t>
      </w:r>
      <w:r w:rsidRPr="00CB41DB">
        <w:rPr>
          <w:b/>
        </w:rPr>
        <w:tab/>
        <w:t>Advances of Expenses</w:t>
      </w:r>
      <w:r>
        <w:t xml:space="preserve">.  Pursuant to the provisions of Section 16-6a-904 and 16-6a-907 of the Act, if a determination is made, following the procedures of Section 16-6a-906 of the Act, that a Trustee or an officer has met the statutory requirements for advancement of expenses, and if an authorization of payment is made, following the procedures and standards set forth in Section 16-6a-906 of the Act, then the corporation may pay for or reimburse the </w:t>
      </w:r>
      <w:r>
        <w:lastRenderedPageBreak/>
        <w:t>reasonable expenses incurred by a director or an officer who is a party to a proceeding in advance of final disposition of the proceeding.</w:t>
      </w:r>
    </w:p>
    <w:p w:rsidR="00CB41DB" w:rsidRDefault="00CB41DB" w:rsidP="00CB41DB">
      <w:pPr>
        <w:keepNext/>
        <w:ind w:firstLine="720"/>
      </w:pPr>
    </w:p>
    <w:p w:rsidR="00CB41DB" w:rsidRDefault="00CB41DB" w:rsidP="00CB41DB">
      <w:pPr>
        <w:keepNext/>
        <w:ind w:firstLine="720"/>
      </w:pPr>
      <w:r w:rsidRPr="00CB41DB">
        <w:rPr>
          <w:b/>
        </w:rPr>
        <w:t xml:space="preserve">Section </w:t>
      </w:r>
      <w:r>
        <w:rPr>
          <w:b/>
        </w:rPr>
        <w:t>6</w:t>
      </w:r>
      <w:r w:rsidRPr="00CB41DB">
        <w:rPr>
          <w:b/>
        </w:rPr>
        <w:t>.3</w:t>
      </w:r>
      <w:r w:rsidRPr="00CB41DB">
        <w:rPr>
          <w:b/>
        </w:rPr>
        <w:tab/>
        <w:t>Other Rights and Remedies</w:t>
      </w:r>
      <w:r>
        <w:t>.  The rights to indemnification and advancement of expen</w:t>
      </w:r>
      <w:r w:rsidR="00587EE1">
        <w:t>ses provided in this Article VI</w:t>
      </w:r>
      <w:r>
        <w:t xml:space="preserve"> shall be in addition to any other rights which a party may have or hereafter acquire under any applicable law, contract, order, or otherwise.</w:t>
      </w:r>
    </w:p>
    <w:p w:rsidR="00CB41DB" w:rsidRDefault="00CB41DB" w:rsidP="00CB41DB">
      <w:pPr>
        <w:keepNext/>
        <w:ind w:firstLine="720"/>
      </w:pPr>
    </w:p>
    <w:p w:rsidR="00CB41DB" w:rsidRDefault="00CB41DB" w:rsidP="00CB41DB">
      <w:pPr>
        <w:keepNext/>
        <w:ind w:firstLine="720"/>
      </w:pPr>
      <w:r w:rsidRPr="00CB41DB">
        <w:rPr>
          <w:b/>
        </w:rPr>
        <w:t xml:space="preserve">Section </w:t>
      </w:r>
      <w:r>
        <w:rPr>
          <w:b/>
        </w:rPr>
        <w:t>6</w:t>
      </w:r>
      <w:r w:rsidRPr="00CB41DB">
        <w:rPr>
          <w:b/>
        </w:rPr>
        <w:t>.4</w:t>
      </w:r>
      <w:r w:rsidRPr="00CB41DB">
        <w:rPr>
          <w:b/>
        </w:rPr>
        <w:tab/>
        <w:t>Insurance</w:t>
      </w:r>
      <w:r>
        <w:t>.  The corporation may maintain liability insurance coverage for the officers and directors of the corporation in such amounts as deemed appropriate by the Board of Directors.</w:t>
      </w:r>
    </w:p>
    <w:p w:rsidR="00CB41DB" w:rsidRDefault="00CB41DB" w:rsidP="00CB41DB">
      <w:pPr>
        <w:keepNext/>
        <w:ind w:firstLine="720"/>
      </w:pPr>
    </w:p>
    <w:p w:rsidR="00F55AE3" w:rsidRDefault="00CB41DB" w:rsidP="00CB41DB">
      <w:pPr>
        <w:keepNext/>
        <w:ind w:firstLine="720"/>
      </w:pPr>
      <w:r w:rsidRPr="00CB41DB">
        <w:rPr>
          <w:b/>
        </w:rPr>
        <w:t xml:space="preserve">Section </w:t>
      </w:r>
      <w:r>
        <w:rPr>
          <w:b/>
        </w:rPr>
        <w:t>6</w:t>
      </w:r>
      <w:r w:rsidRPr="00CB41DB">
        <w:rPr>
          <w:b/>
        </w:rPr>
        <w:t>.5</w:t>
      </w:r>
      <w:r w:rsidRPr="00CB41DB">
        <w:rPr>
          <w:b/>
        </w:rPr>
        <w:tab/>
        <w:t>Severability</w:t>
      </w:r>
      <w:r>
        <w:t>.  If any provision of this Article VI shall be held to be invalid, illegal or unenforceable for any reason, the remaining provisions of this Article VI shall not be affected or impaired thereby, but shall, to the fullest extent possible, be construed so as to give effect t</w:t>
      </w:r>
      <w:r w:rsidR="005A304D">
        <w:t>o the intent of this Article VI</w:t>
      </w:r>
      <w:r>
        <w:t xml:space="preserve"> that each party covered hereby is entitled to the fullest protection permitted by law.</w:t>
      </w:r>
    </w:p>
    <w:p w:rsidR="00F55AE3" w:rsidRDefault="00F55AE3"/>
    <w:p w:rsidR="00F55AE3" w:rsidRDefault="00F55AE3"/>
    <w:sectPr w:rsidR="00F55AE3">
      <w:headerReference w:type="even" r:id="rId7"/>
      <w:headerReference w:type="default" r:id="rId8"/>
      <w:footerReference w:type="even" r:id="rId9"/>
      <w:footerReference w:type="default" r:id="rId10"/>
      <w:headerReference w:type="first" r:id="rId11"/>
      <w:footerReference w:type="first" r:id="rId1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55AE3" w:rsidRDefault="00F55AE3" w:rsidP="00F55AE3">
      <w:r>
        <w:separator/>
      </w:r>
    </w:p>
  </w:endnote>
  <w:endnote w:type="continuationSeparator" w:id="0">
    <w:p w:rsidR="00F55AE3" w:rsidRDefault="00F55AE3" w:rsidP="00F55AE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 w:name="SpektroGothic-Regular">
    <w:altName w:val="Times New Roman"/>
    <w:panose1 w:val="00000000000000000000"/>
    <w:charset w:val="00"/>
    <w:family w:val="roman"/>
    <w:notTrueType/>
    <w:pitch w:val="variable"/>
    <w:sig w:usb0="00000083" w:usb1="00000000" w:usb2="00000000" w:usb3="00000000" w:csb0="00000009"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okmarkStart w:id="1" w:name="_iDocIDField80d6b197-6a3d-420e-bce7-be6d"/>
  <w:p w:rsidR="00576AEE" w:rsidRDefault="00576AEE">
    <w:pPr>
      <w:pStyle w:val="DocID"/>
    </w:pPr>
    <w:r>
      <w:fldChar w:fldCharType="begin"/>
    </w:r>
    <w:r>
      <w:instrText xml:space="preserve">  DOCPROPERTY "CUS_DocIDChunk0" </w:instrText>
    </w:r>
    <w:r>
      <w:fldChar w:fldCharType="separate"/>
    </w:r>
    <w:r>
      <w:rPr>
        <w:noProof/>
      </w:rPr>
      <w:t>4824-4001-0788\2</w:t>
    </w:r>
    <w:r>
      <w:fldChar w:fldCharType="end"/>
    </w:r>
    <w:bookmarkEnd w:id="1"/>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76AEE" w:rsidRDefault="00576AEE" w:rsidP="0092376D">
    <w:pPr>
      <w:pStyle w:val="Footer"/>
      <w:jc w:val="center"/>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bookmarkStart w:id="2" w:name="_iDocIDField68267227-f18f-4ce4-9d15-8cf2"/>
  <w:p w:rsidR="00576AEE" w:rsidRDefault="00576AEE">
    <w:pPr>
      <w:pStyle w:val="DocID"/>
    </w:pPr>
    <w:r>
      <w:fldChar w:fldCharType="begin"/>
    </w:r>
    <w:r>
      <w:instrText xml:space="preserve">  DOCPROPERTY "CUS_DocIDChunk0" </w:instrText>
    </w:r>
    <w:r>
      <w:fldChar w:fldCharType="separate"/>
    </w:r>
    <w:r>
      <w:rPr>
        <w:noProof/>
      </w:rPr>
      <w:t>4824-4001-0788\2</w:t>
    </w:r>
    <w:r>
      <w:fldChar w:fldCharType="end"/>
    </w:r>
    <w:bookmarkEnd w:id="2"/>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okmarkStart w:id="3" w:name="_iDocIDField9a31c7be-6a52-437d-940c-0ee3"/>
  <w:p w:rsidR="00576AEE" w:rsidRDefault="00576AEE">
    <w:pPr>
      <w:pStyle w:val="DocID"/>
    </w:pPr>
    <w:r>
      <w:fldChar w:fldCharType="begin"/>
    </w:r>
    <w:r>
      <w:instrText xml:space="preserve">  DOCPROPERTY "CUS_DocIDChunk0" </w:instrText>
    </w:r>
    <w:r>
      <w:fldChar w:fldCharType="separate"/>
    </w:r>
    <w:r>
      <w:rPr>
        <w:noProof/>
      </w:rPr>
      <w:t>4824-4001-0788\2</w:t>
    </w:r>
    <w:r>
      <w:fldChar w:fldCharType="end"/>
    </w:r>
    <w:bookmarkEnd w:id="3"/>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55AE3" w:rsidRDefault="00F55AE3" w:rsidP="00F55AE3">
      <w:r>
        <w:separator/>
      </w:r>
    </w:p>
  </w:footnote>
  <w:footnote w:type="continuationSeparator" w:id="0">
    <w:p w:rsidR="00F55AE3" w:rsidRDefault="00F55AE3" w:rsidP="00F55AE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D39BD" w:rsidRDefault="005D39B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D39BD" w:rsidRDefault="005D39BD">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D39BD" w:rsidRDefault="005D39B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3D2C2C74"/>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AB10193C"/>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A7E8ED56"/>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B26C46A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31D62E44"/>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EAE0284C"/>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D482055A"/>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A36042A8"/>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0096D6F0"/>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7568AA34"/>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31D0C99"/>
    <w:multiLevelType w:val="hybridMultilevel"/>
    <w:tmpl w:val="782E002C"/>
    <w:lvl w:ilvl="0" w:tplc="369A392E">
      <w:start w:val="1"/>
      <w:numFmt w:val="bullet"/>
      <w:pStyle w:val="DWListBullet"/>
      <w:lvlText w:val=""/>
      <w:lvlJc w:val="left"/>
      <w:pPr>
        <w:tabs>
          <w:tab w:val="num" w:pos="1440"/>
        </w:tabs>
        <w:ind w:left="1440" w:hanging="72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19E2379C"/>
    <w:multiLevelType w:val="singleLevel"/>
    <w:tmpl w:val="38B2708A"/>
    <w:lvl w:ilvl="0">
      <w:start w:val="1"/>
      <w:numFmt w:val="bullet"/>
      <w:pStyle w:val="ListBullet1"/>
      <w:lvlText w:val=""/>
      <w:lvlJc w:val="left"/>
      <w:pPr>
        <w:tabs>
          <w:tab w:val="num" w:pos="360"/>
        </w:tabs>
        <w:ind w:left="360" w:hanging="360"/>
      </w:pPr>
      <w:rPr>
        <w:rFonts w:ascii="Symbol" w:hAnsi="Symbol" w:hint="default"/>
      </w:rPr>
    </w:lvl>
  </w:abstractNum>
  <w:abstractNum w:abstractNumId="12" w15:restartNumberingAfterBreak="0">
    <w:nsid w:val="2A373242"/>
    <w:multiLevelType w:val="multilevel"/>
    <w:tmpl w:val="91F00D78"/>
    <w:lvl w:ilvl="0">
      <w:start w:val="1"/>
      <w:numFmt w:val="none"/>
      <w:pStyle w:val="Heading1"/>
      <w:suff w:val="nothing"/>
      <w:lvlText w:val="%1"/>
      <w:lvlJc w:val="center"/>
      <w:pPr>
        <w:ind w:left="0" w:firstLine="0"/>
      </w:pPr>
      <w:rPr>
        <w:rFonts w:hint="default"/>
        <w:u w:val="none"/>
      </w:rPr>
    </w:lvl>
    <w:lvl w:ilvl="1">
      <w:start w:val="1"/>
      <w:numFmt w:val="none"/>
      <w:pStyle w:val="Heading2"/>
      <w:suff w:val="nothing"/>
      <w:lvlText w:val="%2"/>
      <w:lvlJc w:val="left"/>
      <w:pPr>
        <w:ind w:left="0" w:firstLine="0"/>
      </w:pPr>
      <w:rPr>
        <w:rFonts w:hint="default"/>
        <w:u w:val="none"/>
      </w:rPr>
    </w:lvl>
    <w:lvl w:ilvl="2">
      <w:start w:val="1"/>
      <w:numFmt w:val="none"/>
      <w:pStyle w:val="Heading3"/>
      <w:suff w:val="nothing"/>
      <w:lvlText w:val="%3"/>
      <w:lvlJc w:val="left"/>
      <w:pPr>
        <w:ind w:left="0" w:firstLine="0"/>
      </w:pPr>
      <w:rPr>
        <w:rFonts w:hint="default"/>
        <w:u w:val="none"/>
      </w:rPr>
    </w:lvl>
    <w:lvl w:ilvl="3">
      <w:start w:val="1"/>
      <w:numFmt w:val="none"/>
      <w:pStyle w:val="Heading4"/>
      <w:suff w:val="nothing"/>
      <w:lvlText w:val="%4"/>
      <w:lvlJc w:val="left"/>
      <w:pPr>
        <w:ind w:left="0" w:firstLine="0"/>
      </w:pPr>
      <w:rPr>
        <w:rFonts w:hint="default"/>
        <w:u w:val="none"/>
      </w:rPr>
    </w:lvl>
    <w:lvl w:ilvl="4">
      <w:start w:val="1"/>
      <w:numFmt w:val="none"/>
      <w:pStyle w:val="Heading5"/>
      <w:suff w:val="nothing"/>
      <w:lvlText w:val="%5"/>
      <w:lvlJc w:val="left"/>
      <w:pPr>
        <w:ind w:left="0" w:firstLine="0"/>
      </w:pPr>
      <w:rPr>
        <w:rFonts w:hint="default"/>
        <w:u w:val="none"/>
      </w:rPr>
    </w:lvl>
    <w:lvl w:ilvl="5">
      <w:start w:val="1"/>
      <w:numFmt w:val="none"/>
      <w:lvlRestart w:val="0"/>
      <w:pStyle w:val="Heading6"/>
      <w:suff w:val="nothing"/>
      <w:lvlText w:val=""/>
      <w:lvlJc w:val="left"/>
      <w:pPr>
        <w:ind w:left="0" w:firstLine="0"/>
      </w:pPr>
      <w:rPr>
        <w:rFonts w:hint="default"/>
        <w:u w:val="none"/>
      </w:rPr>
    </w:lvl>
    <w:lvl w:ilvl="6">
      <w:start w:val="1"/>
      <w:numFmt w:val="none"/>
      <w:pStyle w:val="Heading7"/>
      <w:suff w:val="nothing"/>
      <w:lvlText w:val="%7"/>
      <w:lvlJc w:val="left"/>
      <w:pPr>
        <w:ind w:left="0" w:firstLine="0"/>
      </w:pPr>
      <w:rPr>
        <w:rFonts w:hint="default"/>
        <w:u w:val="none"/>
      </w:rPr>
    </w:lvl>
    <w:lvl w:ilvl="7">
      <w:start w:val="1"/>
      <w:numFmt w:val="none"/>
      <w:pStyle w:val="Heading8"/>
      <w:suff w:val="nothing"/>
      <w:lvlText w:val="%8"/>
      <w:lvlJc w:val="left"/>
      <w:pPr>
        <w:ind w:left="0" w:firstLine="0"/>
      </w:pPr>
      <w:rPr>
        <w:rFonts w:hint="default"/>
        <w:u w:val="none"/>
      </w:rPr>
    </w:lvl>
    <w:lvl w:ilvl="8">
      <w:start w:val="1"/>
      <w:numFmt w:val="none"/>
      <w:pStyle w:val="Heading9"/>
      <w:suff w:val="nothing"/>
      <w:lvlText w:val="%9"/>
      <w:lvlJc w:val="left"/>
      <w:pPr>
        <w:ind w:left="0" w:firstLine="0"/>
      </w:pPr>
      <w:rPr>
        <w:rFonts w:hint="default"/>
        <w:u w:val="none"/>
      </w:rPr>
    </w:lvl>
  </w:abstractNum>
  <w:abstractNum w:abstractNumId="13" w15:restartNumberingAfterBreak="0">
    <w:nsid w:val="5AC04A7F"/>
    <w:multiLevelType w:val="singleLevel"/>
    <w:tmpl w:val="599E5D68"/>
    <w:lvl w:ilvl="0">
      <w:start w:val="1"/>
      <w:numFmt w:val="decimal"/>
      <w:pStyle w:val="ListNumber1"/>
      <w:lvlText w:val="%1."/>
      <w:lvlJc w:val="left"/>
      <w:pPr>
        <w:tabs>
          <w:tab w:val="num" w:pos="360"/>
        </w:tabs>
        <w:ind w:left="360" w:hanging="360"/>
      </w:pPr>
    </w:lvl>
  </w:abstractNum>
  <w:abstractNum w:abstractNumId="14" w15:restartNumberingAfterBreak="0">
    <w:nsid w:val="5B2A29AC"/>
    <w:multiLevelType w:val="hybridMultilevel"/>
    <w:tmpl w:val="041E300A"/>
    <w:lvl w:ilvl="0" w:tplc="23F24968">
      <w:start w:val="1"/>
      <w:numFmt w:val="decimal"/>
      <w:pStyle w:val="DWListNumber"/>
      <w:lvlText w:val="%1."/>
      <w:lvlJc w:val="left"/>
      <w:pPr>
        <w:tabs>
          <w:tab w:val="num" w:pos="1440"/>
        </w:tabs>
        <w:ind w:left="1440" w:hanging="720"/>
      </w:pPr>
      <w:rPr>
        <w:rFonts w:hint="default"/>
        <w:sz w:val="24"/>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abstractNumId w:val="8"/>
  </w:num>
  <w:num w:numId="2">
    <w:abstractNumId w:val="10"/>
  </w:num>
  <w:num w:numId="3">
    <w:abstractNumId w:val="14"/>
  </w:num>
  <w:num w:numId="4">
    <w:abstractNumId w:val="12"/>
  </w:num>
  <w:num w:numId="5">
    <w:abstractNumId w:val="12"/>
  </w:num>
  <w:num w:numId="6">
    <w:abstractNumId w:val="12"/>
  </w:num>
  <w:num w:numId="7">
    <w:abstractNumId w:val="12"/>
  </w:num>
  <w:num w:numId="8">
    <w:abstractNumId w:val="12"/>
  </w:num>
  <w:num w:numId="9">
    <w:abstractNumId w:val="12"/>
  </w:num>
  <w:num w:numId="10">
    <w:abstractNumId w:val="12"/>
  </w:num>
  <w:num w:numId="11">
    <w:abstractNumId w:val="12"/>
  </w:num>
  <w:num w:numId="12">
    <w:abstractNumId w:val="12"/>
  </w:num>
  <w:num w:numId="13">
    <w:abstractNumId w:val="9"/>
  </w:num>
  <w:num w:numId="14">
    <w:abstractNumId w:val="9"/>
  </w:num>
  <w:num w:numId="15">
    <w:abstractNumId w:val="11"/>
  </w:num>
  <w:num w:numId="16">
    <w:abstractNumId w:val="7"/>
  </w:num>
  <w:num w:numId="17">
    <w:abstractNumId w:val="7"/>
  </w:num>
  <w:num w:numId="18">
    <w:abstractNumId w:val="6"/>
  </w:num>
  <w:num w:numId="19">
    <w:abstractNumId w:val="6"/>
  </w:num>
  <w:num w:numId="20">
    <w:abstractNumId w:val="5"/>
  </w:num>
  <w:num w:numId="21">
    <w:abstractNumId w:val="5"/>
  </w:num>
  <w:num w:numId="22">
    <w:abstractNumId w:val="4"/>
  </w:num>
  <w:num w:numId="23">
    <w:abstractNumId w:val="4"/>
  </w:num>
  <w:num w:numId="24">
    <w:abstractNumId w:val="13"/>
  </w:num>
  <w:num w:numId="25">
    <w:abstractNumId w:val="3"/>
  </w:num>
  <w:num w:numId="26">
    <w:abstractNumId w:val="2"/>
  </w:num>
  <w:num w:numId="27">
    <w:abstractNumId w:val="2"/>
  </w:num>
  <w:num w:numId="28">
    <w:abstractNumId w:val="1"/>
  </w:num>
  <w:num w:numId="29">
    <w:abstractNumId w:val="1"/>
  </w:num>
  <w:num w:numId="30">
    <w:abstractNumId w:val="0"/>
  </w:num>
  <w:num w:numId="3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docVars>
    <w:docVar w:name="DOCX97_1" w:val="T_4 Bylaws - no member.DOC"/>
    <w:docVar w:name="DOCX97_10" w:val="4/17/01 8:30:21 AM"/>
    <w:docVar w:name="DOCX97_2" w:val="s:\DorseyWhitney_source\MN_050601\Mpfile01\health\Users\topp.claire\FormFile\Nonprofit Manual Forms\T_3 &amp; T_4 Public Charity\T_4 Bylaws - no member.DOC"/>
    <w:docVar w:name="DOCX97_3" w:val="WORD9"/>
    <w:docVar w:name="DOCX97_4" w:val="s:\dorseywhitney_target\mn_050601\Mpfile01\health\Users\topp.claire\FormFile\Nonprofit Manual Forms\T_3 &amp; T_4 Public Charity\T_4 Bylaws - no member.DOC"/>
    <w:docVar w:name="DOCX97_42" w:val="0Footnotes"/>
    <w:docVar w:name="DOCX97_43" w:val="0Endnotes"/>
    <w:docVar w:name="DOCX97_5" w:val=" 37376"/>
    <w:docVar w:name="DOCX97_51" w:val="NoDocType"/>
    <w:docVar w:name="DOCX97_91" w:val="DorseyWhitney"/>
    <w:docVar w:name="DOCX97_92" w:val="5/7/01"/>
    <w:docVar w:name="DOCX97_93" w:val="1:11:50 PM"/>
  </w:docVars>
  <w:rsids>
    <w:rsidRoot w:val="00E734F6"/>
    <w:rsid w:val="0000003B"/>
    <w:rsid w:val="00012B7F"/>
    <w:rsid w:val="00015CA2"/>
    <w:rsid w:val="000355EB"/>
    <w:rsid w:val="00056697"/>
    <w:rsid w:val="001809DB"/>
    <w:rsid w:val="002700FA"/>
    <w:rsid w:val="00287F8A"/>
    <w:rsid w:val="0032517C"/>
    <w:rsid w:val="00331295"/>
    <w:rsid w:val="00345D6F"/>
    <w:rsid w:val="003D076B"/>
    <w:rsid w:val="00440D8F"/>
    <w:rsid w:val="00501460"/>
    <w:rsid w:val="00540408"/>
    <w:rsid w:val="00576AEE"/>
    <w:rsid w:val="00587EE1"/>
    <w:rsid w:val="005A304D"/>
    <w:rsid w:val="005D39BD"/>
    <w:rsid w:val="00624202"/>
    <w:rsid w:val="0064716B"/>
    <w:rsid w:val="006B7838"/>
    <w:rsid w:val="00801243"/>
    <w:rsid w:val="00822A34"/>
    <w:rsid w:val="00882268"/>
    <w:rsid w:val="00943E24"/>
    <w:rsid w:val="00976B9D"/>
    <w:rsid w:val="00A86C9B"/>
    <w:rsid w:val="00AA6452"/>
    <w:rsid w:val="00AD7CAD"/>
    <w:rsid w:val="00B7480D"/>
    <w:rsid w:val="00B83CFE"/>
    <w:rsid w:val="00C71719"/>
    <w:rsid w:val="00CB41DB"/>
    <w:rsid w:val="00CF435F"/>
    <w:rsid w:val="00CF668C"/>
    <w:rsid w:val="00D04562"/>
    <w:rsid w:val="00D53877"/>
    <w:rsid w:val="00DC4498"/>
    <w:rsid w:val="00E172AA"/>
    <w:rsid w:val="00E734F6"/>
    <w:rsid w:val="00F433A5"/>
    <w:rsid w:val="00F55AE3"/>
    <w:rsid w:val="00F56E90"/>
    <w:rsid w:val="00FF1A3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oNotEmbedSmartTags/>
  <w:decimalSymbol w:val="."/>
  <w:listSeparator w:val=","/>
  <w14:docId w14:val="1C2562FD"/>
  <w15:docId w15:val="{225134C0-624C-4192-B005-34CB30A131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rPr>
  </w:style>
  <w:style w:type="paragraph" w:styleId="Heading1">
    <w:name w:val="heading 1"/>
    <w:basedOn w:val="Heading"/>
    <w:next w:val="BodyText"/>
    <w:qFormat/>
    <w:pPr>
      <w:keepNext/>
      <w:keepLines/>
      <w:numPr>
        <w:numId w:val="4"/>
      </w:numPr>
      <w:jc w:val="center"/>
      <w:outlineLvl w:val="0"/>
    </w:pPr>
    <w:rPr>
      <w:b/>
    </w:rPr>
  </w:style>
  <w:style w:type="paragraph" w:styleId="Heading2">
    <w:name w:val="heading 2"/>
    <w:basedOn w:val="Heading"/>
    <w:next w:val="BodyText"/>
    <w:qFormat/>
    <w:pPr>
      <w:numPr>
        <w:ilvl w:val="1"/>
        <w:numId w:val="5"/>
      </w:numPr>
      <w:outlineLvl w:val="1"/>
    </w:pPr>
    <w:rPr>
      <w:b/>
    </w:rPr>
  </w:style>
  <w:style w:type="paragraph" w:styleId="Heading3">
    <w:name w:val="heading 3"/>
    <w:basedOn w:val="Heading"/>
    <w:next w:val="BodyText"/>
    <w:qFormat/>
    <w:pPr>
      <w:numPr>
        <w:ilvl w:val="2"/>
        <w:numId w:val="6"/>
      </w:numPr>
      <w:outlineLvl w:val="2"/>
    </w:pPr>
  </w:style>
  <w:style w:type="paragraph" w:styleId="Heading4">
    <w:name w:val="heading 4"/>
    <w:basedOn w:val="Heading"/>
    <w:next w:val="BodyText"/>
    <w:qFormat/>
    <w:pPr>
      <w:numPr>
        <w:ilvl w:val="3"/>
        <w:numId w:val="7"/>
      </w:numPr>
      <w:outlineLvl w:val="3"/>
    </w:pPr>
  </w:style>
  <w:style w:type="paragraph" w:styleId="Heading5">
    <w:name w:val="heading 5"/>
    <w:basedOn w:val="Heading"/>
    <w:next w:val="BodyText"/>
    <w:qFormat/>
    <w:pPr>
      <w:numPr>
        <w:ilvl w:val="4"/>
        <w:numId w:val="8"/>
      </w:numPr>
      <w:outlineLvl w:val="4"/>
    </w:pPr>
  </w:style>
  <w:style w:type="paragraph" w:styleId="Heading6">
    <w:name w:val="heading 6"/>
    <w:basedOn w:val="Heading"/>
    <w:next w:val="BodyText"/>
    <w:qFormat/>
    <w:pPr>
      <w:numPr>
        <w:ilvl w:val="5"/>
        <w:numId w:val="9"/>
      </w:numPr>
      <w:outlineLvl w:val="5"/>
    </w:pPr>
  </w:style>
  <w:style w:type="paragraph" w:styleId="Heading7">
    <w:name w:val="heading 7"/>
    <w:basedOn w:val="Heading"/>
    <w:next w:val="BodyText"/>
    <w:qFormat/>
    <w:pPr>
      <w:numPr>
        <w:ilvl w:val="6"/>
        <w:numId w:val="10"/>
      </w:numPr>
      <w:outlineLvl w:val="6"/>
    </w:pPr>
  </w:style>
  <w:style w:type="paragraph" w:styleId="Heading8">
    <w:name w:val="heading 8"/>
    <w:basedOn w:val="Heading"/>
    <w:next w:val="BodyText"/>
    <w:qFormat/>
    <w:pPr>
      <w:numPr>
        <w:ilvl w:val="7"/>
        <w:numId w:val="11"/>
      </w:numPr>
      <w:outlineLvl w:val="7"/>
    </w:pPr>
  </w:style>
  <w:style w:type="paragraph" w:styleId="Heading9">
    <w:name w:val="heading 9"/>
    <w:basedOn w:val="Heading"/>
    <w:next w:val="BodyText"/>
    <w:qFormat/>
    <w:pPr>
      <w:numPr>
        <w:ilvl w:val="8"/>
        <w:numId w:val="12"/>
      </w:numPr>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Heading">
    <w:name w:val="Heading"/>
    <w:basedOn w:val="Normal"/>
    <w:pPr>
      <w:spacing w:after="240"/>
    </w:pPr>
  </w:style>
  <w:style w:type="paragraph" w:styleId="List">
    <w:name w:val="List"/>
    <w:basedOn w:val="Normal"/>
  </w:style>
  <w:style w:type="paragraph" w:customStyle="1" w:styleId="List1">
    <w:name w:val="List 1"/>
    <w:basedOn w:val="List"/>
    <w:pPr>
      <w:ind w:left="720" w:hanging="720"/>
    </w:pPr>
  </w:style>
  <w:style w:type="paragraph" w:styleId="List2">
    <w:name w:val="List 2"/>
    <w:basedOn w:val="List1"/>
    <w:pPr>
      <w:ind w:left="1440"/>
    </w:pPr>
  </w:style>
  <w:style w:type="paragraph" w:styleId="List3">
    <w:name w:val="List 3"/>
    <w:basedOn w:val="List2"/>
    <w:pPr>
      <w:ind w:left="2160"/>
    </w:pPr>
  </w:style>
  <w:style w:type="paragraph" w:styleId="List4">
    <w:name w:val="List 4"/>
    <w:basedOn w:val="List3"/>
    <w:pPr>
      <w:ind w:left="2880"/>
    </w:pPr>
  </w:style>
  <w:style w:type="paragraph" w:styleId="List5">
    <w:name w:val="List 5"/>
    <w:basedOn w:val="List4"/>
    <w:pPr>
      <w:ind w:left="3600"/>
    </w:pPr>
  </w:style>
  <w:style w:type="paragraph" w:styleId="ListContinue">
    <w:name w:val="List Continue"/>
    <w:basedOn w:val="Normal"/>
    <w:pPr>
      <w:spacing w:before="240"/>
    </w:pPr>
  </w:style>
  <w:style w:type="paragraph" w:styleId="ListNumber">
    <w:name w:val="List Number"/>
    <w:basedOn w:val="Normal"/>
  </w:style>
  <w:style w:type="paragraph" w:customStyle="1" w:styleId="Quote1">
    <w:name w:val="Quote1"/>
    <w:basedOn w:val="Normal"/>
    <w:next w:val="Normal"/>
    <w:pPr>
      <w:spacing w:after="240"/>
      <w:ind w:left="1440" w:right="1440"/>
    </w:pPr>
  </w:style>
  <w:style w:type="paragraph" w:customStyle="1" w:styleId="Table">
    <w:name w:val="Table"/>
    <w:basedOn w:val="Normal"/>
    <w:pPr>
      <w:spacing w:before="60" w:after="60"/>
    </w:pPr>
  </w:style>
  <w:style w:type="paragraph" w:styleId="Title">
    <w:name w:val="Title"/>
    <w:basedOn w:val="Normal"/>
    <w:qFormat/>
    <w:pPr>
      <w:spacing w:after="240"/>
      <w:jc w:val="center"/>
      <w:outlineLvl w:val="0"/>
    </w:pPr>
    <w:rPr>
      <w:b/>
    </w:rPr>
  </w:style>
  <w:style w:type="paragraph" w:styleId="TOC8">
    <w:name w:val="toc 8"/>
    <w:basedOn w:val="Normal"/>
    <w:next w:val="Normal"/>
    <w:autoRedefine/>
    <w:semiHidden/>
    <w:pPr>
      <w:ind w:left="1440"/>
    </w:pPr>
  </w:style>
  <w:style w:type="paragraph" w:customStyle="1" w:styleId="Address">
    <w:name w:val="Address"/>
    <w:basedOn w:val="Normal"/>
    <w:next w:val="Normal"/>
  </w:style>
  <w:style w:type="paragraph" w:customStyle="1" w:styleId="BelowDate">
    <w:name w:val="BelowDate"/>
    <w:basedOn w:val="Normal"/>
    <w:pPr>
      <w:framePr w:hSpace="187" w:wrap="notBeside" w:vAnchor="page" w:hAnchor="text" w:xAlign="center" w:y="3241"/>
      <w:jc w:val="center"/>
    </w:pPr>
  </w:style>
  <w:style w:type="paragraph" w:styleId="BlockText">
    <w:name w:val="Block Text"/>
    <w:basedOn w:val="Normal"/>
    <w:pPr>
      <w:spacing w:after="240"/>
      <w:ind w:left="1440" w:right="1440"/>
    </w:pPr>
  </w:style>
  <w:style w:type="paragraph" w:customStyle="1" w:styleId="BodyTextDblFirst5">
    <w:name w:val="Body Text Dbl First .5"/>
    <w:basedOn w:val="Normal"/>
    <w:pPr>
      <w:spacing w:line="480" w:lineRule="auto"/>
      <w:ind w:firstLine="720"/>
    </w:pPr>
  </w:style>
  <w:style w:type="paragraph" w:customStyle="1" w:styleId="BodyTextDblFirst1">
    <w:name w:val="Body Text Dbl First 1"/>
    <w:basedOn w:val="Normal"/>
    <w:pPr>
      <w:suppressAutoHyphens/>
      <w:spacing w:line="480" w:lineRule="auto"/>
      <w:ind w:firstLine="1440"/>
    </w:pPr>
  </w:style>
  <w:style w:type="paragraph" w:customStyle="1" w:styleId="BodyTextDbl">
    <w:name w:val="Body Text Dbl"/>
    <w:basedOn w:val="Normal"/>
    <w:pPr>
      <w:spacing w:line="480" w:lineRule="auto"/>
    </w:pPr>
  </w:style>
  <w:style w:type="paragraph" w:customStyle="1" w:styleId="BodyTextFirst5">
    <w:name w:val="Body Text First .5"/>
    <w:basedOn w:val="Normal"/>
    <w:pPr>
      <w:spacing w:after="240"/>
      <w:ind w:firstLine="720"/>
    </w:pPr>
  </w:style>
  <w:style w:type="paragraph" w:customStyle="1" w:styleId="BodyTextFirst1">
    <w:name w:val="Body Text First 1"/>
    <w:basedOn w:val="Normal"/>
    <w:pPr>
      <w:spacing w:after="240"/>
      <w:ind w:firstLine="1440"/>
    </w:pPr>
  </w:style>
  <w:style w:type="paragraph" w:customStyle="1" w:styleId="BodyTextFJDblFirst5">
    <w:name w:val="Body Text FJ Dbl First .5"/>
    <w:basedOn w:val="Normal"/>
    <w:pPr>
      <w:spacing w:line="480" w:lineRule="auto"/>
      <w:ind w:firstLine="720"/>
      <w:jc w:val="both"/>
    </w:pPr>
  </w:style>
  <w:style w:type="paragraph" w:customStyle="1" w:styleId="BodyTextFJDbl">
    <w:name w:val="Body Text FJ Dbl"/>
    <w:basedOn w:val="Normal"/>
    <w:pPr>
      <w:spacing w:line="480" w:lineRule="auto"/>
      <w:jc w:val="both"/>
    </w:pPr>
  </w:style>
  <w:style w:type="paragraph" w:customStyle="1" w:styleId="BodyTextFJFirst5">
    <w:name w:val="Body Text FJ First .5"/>
    <w:basedOn w:val="Normal"/>
    <w:pPr>
      <w:spacing w:after="240"/>
      <w:ind w:firstLine="720"/>
      <w:jc w:val="both"/>
    </w:pPr>
  </w:style>
  <w:style w:type="paragraph" w:customStyle="1" w:styleId="BodyTextFJFirst1">
    <w:name w:val="Body Text FJ First 1"/>
    <w:basedOn w:val="Normal"/>
    <w:pPr>
      <w:spacing w:after="240"/>
      <w:ind w:firstLine="1440"/>
    </w:pPr>
  </w:style>
  <w:style w:type="paragraph" w:customStyle="1" w:styleId="BodyTextFJ">
    <w:name w:val="Body Text FJ"/>
    <w:basedOn w:val="Normal"/>
    <w:pPr>
      <w:spacing w:after="240"/>
      <w:jc w:val="both"/>
    </w:pPr>
  </w:style>
  <w:style w:type="paragraph" w:styleId="BodyText">
    <w:name w:val="Body Text"/>
    <w:basedOn w:val="Normal"/>
    <w:pPr>
      <w:spacing w:after="240"/>
    </w:pPr>
  </w:style>
  <w:style w:type="paragraph" w:styleId="Caption">
    <w:name w:val="caption"/>
    <w:basedOn w:val="Normal"/>
    <w:next w:val="Normal"/>
    <w:qFormat/>
    <w:rPr>
      <w:b/>
    </w:rPr>
  </w:style>
  <w:style w:type="paragraph" w:customStyle="1" w:styleId="ccList">
    <w:name w:val="cc List"/>
    <w:basedOn w:val="Normal"/>
    <w:next w:val="Normal"/>
  </w:style>
  <w:style w:type="paragraph" w:styleId="Closing">
    <w:name w:val="Closing"/>
    <w:basedOn w:val="Normal"/>
    <w:pPr>
      <w:ind w:left="4320"/>
    </w:pPr>
  </w:style>
  <w:style w:type="character" w:styleId="CommentReference">
    <w:name w:val="annotation reference"/>
    <w:semiHidden/>
    <w:rPr>
      <w:rFonts w:ascii="Times New Roman" w:hAnsi="Times New Roman"/>
      <w:color w:val="FF0000"/>
      <w:sz w:val="16"/>
    </w:rPr>
  </w:style>
  <w:style w:type="paragraph" w:styleId="CommentText">
    <w:name w:val="annotation text"/>
    <w:basedOn w:val="Normal"/>
    <w:semiHidden/>
  </w:style>
  <w:style w:type="paragraph" w:customStyle="1" w:styleId="Company">
    <w:name w:val="Company"/>
    <w:basedOn w:val="Normal"/>
    <w:pPr>
      <w:spacing w:after="240"/>
    </w:pPr>
  </w:style>
  <w:style w:type="paragraph" w:styleId="Date">
    <w:name w:val="Date"/>
    <w:basedOn w:val="Normal"/>
    <w:next w:val="Normal"/>
  </w:style>
  <w:style w:type="paragraph" w:customStyle="1" w:styleId="DocID">
    <w:name w:val="DocID"/>
    <w:basedOn w:val="Footer"/>
    <w:next w:val="Footer"/>
    <w:link w:val="DocIDChar"/>
    <w:rsid w:val="005D39BD"/>
    <w:pPr>
      <w:tabs>
        <w:tab w:val="clear" w:pos="4680"/>
        <w:tab w:val="clear" w:pos="9360"/>
      </w:tabs>
    </w:pPr>
    <w:rPr>
      <w:sz w:val="16"/>
    </w:rPr>
  </w:style>
  <w:style w:type="paragraph" w:styleId="DocumentMap">
    <w:name w:val="Document Map"/>
    <w:basedOn w:val="Normal"/>
    <w:semiHidden/>
    <w:rPr>
      <w:rFonts w:ascii="Tahoma" w:hAnsi="Tahoma"/>
    </w:rPr>
  </w:style>
  <w:style w:type="paragraph" w:customStyle="1" w:styleId="DWListBullet">
    <w:name w:val="DW List Bullet"/>
    <w:basedOn w:val="Normal"/>
    <w:pPr>
      <w:numPr>
        <w:numId w:val="2"/>
      </w:numPr>
      <w:spacing w:after="240"/>
    </w:pPr>
  </w:style>
  <w:style w:type="paragraph" w:customStyle="1" w:styleId="DWListNumber">
    <w:name w:val="DW List Number"/>
    <w:basedOn w:val="Normal"/>
    <w:pPr>
      <w:numPr>
        <w:numId w:val="3"/>
      </w:numPr>
      <w:spacing w:after="240"/>
    </w:pPr>
  </w:style>
  <w:style w:type="character" w:styleId="Emphasis">
    <w:name w:val="Emphasis"/>
    <w:qFormat/>
    <w:rPr>
      <w:i/>
    </w:rPr>
  </w:style>
  <w:style w:type="paragraph" w:customStyle="1" w:styleId="Enclosure">
    <w:name w:val="Enclosure"/>
    <w:basedOn w:val="Normal"/>
    <w:next w:val="Normal"/>
    <w:pPr>
      <w:spacing w:after="240"/>
    </w:pPr>
  </w:style>
  <w:style w:type="character" w:styleId="EndnoteReference">
    <w:name w:val="endnote reference"/>
    <w:semiHidden/>
    <w:rPr>
      <w:vertAlign w:val="superscript"/>
    </w:rPr>
  </w:style>
  <w:style w:type="paragraph" w:styleId="EndnoteText">
    <w:name w:val="endnote text"/>
    <w:basedOn w:val="Normal"/>
    <w:next w:val="Normal"/>
    <w:semiHidden/>
    <w:pPr>
      <w:spacing w:after="240"/>
    </w:pPr>
    <w:rPr>
      <w:sz w:val="20"/>
    </w:rPr>
  </w:style>
  <w:style w:type="paragraph" w:customStyle="1" w:styleId="EndnoteTextMore">
    <w:name w:val="Endnote TextMore"/>
    <w:basedOn w:val="EndnoteText"/>
  </w:style>
  <w:style w:type="paragraph" w:styleId="EnvelopeAddress">
    <w:name w:val="envelope address"/>
    <w:basedOn w:val="Normal"/>
    <w:pPr>
      <w:framePr w:w="7920" w:h="1980" w:hRule="exact" w:hSpace="180" w:wrap="auto" w:hAnchor="page" w:xAlign="center" w:yAlign="bottom"/>
      <w:ind w:left="2880"/>
    </w:pPr>
  </w:style>
  <w:style w:type="paragraph" w:styleId="EnvelopeReturn">
    <w:name w:val="envelope return"/>
    <w:basedOn w:val="Normal"/>
    <w:rPr>
      <w:sz w:val="20"/>
    </w:rPr>
  </w:style>
  <w:style w:type="character" w:styleId="FollowedHyperlink">
    <w:name w:val="FollowedHyperlink"/>
    <w:rPr>
      <w:color w:val="800080"/>
      <w:u w:val="single"/>
    </w:rPr>
  </w:style>
  <w:style w:type="paragraph" w:styleId="Footer">
    <w:name w:val="footer"/>
    <w:basedOn w:val="Normal"/>
    <w:pPr>
      <w:tabs>
        <w:tab w:val="center" w:pos="4680"/>
        <w:tab w:val="right" w:pos="9360"/>
      </w:tabs>
    </w:pPr>
  </w:style>
  <w:style w:type="paragraph" w:customStyle="1" w:styleId="FooterLandscape">
    <w:name w:val="Footer Landscape"/>
    <w:basedOn w:val="Normal"/>
    <w:pPr>
      <w:tabs>
        <w:tab w:val="center" w:pos="6480"/>
        <w:tab w:val="right" w:pos="12960"/>
      </w:tabs>
    </w:pPr>
  </w:style>
  <w:style w:type="character" w:styleId="FootnoteReference">
    <w:name w:val="footnote reference"/>
    <w:semiHidden/>
    <w:rPr>
      <w:vertAlign w:val="superscript"/>
    </w:rPr>
  </w:style>
  <w:style w:type="paragraph" w:styleId="FootnoteText">
    <w:name w:val="footnote text"/>
    <w:basedOn w:val="Normal"/>
    <w:semiHidden/>
    <w:pPr>
      <w:spacing w:after="240"/>
      <w:ind w:left="360" w:hanging="360"/>
    </w:pPr>
    <w:rPr>
      <w:sz w:val="20"/>
    </w:rPr>
  </w:style>
  <w:style w:type="paragraph" w:customStyle="1" w:styleId="FootnoteTextMore">
    <w:name w:val="Footnote TextMore"/>
    <w:basedOn w:val="FootnoteText"/>
    <w:pPr>
      <w:ind w:left="720"/>
    </w:pPr>
  </w:style>
  <w:style w:type="paragraph" w:customStyle="1" w:styleId="Hanging5">
    <w:name w:val="Hanging .5"/>
    <w:basedOn w:val="Normal"/>
    <w:pPr>
      <w:tabs>
        <w:tab w:val="left" w:pos="0"/>
        <w:tab w:val="left" w:pos="1440"/>
      </w:tabs>
      <w:spacing w:after="240"/>
      <w:ind w:left="1440" w:hanging="720"/>
    </w:pPr>
  </w:style>
  <w:style w:type="paragraph" w:customStyle="1" w:styleId="Hanging1">
    <w:name w:val="Hanging 1"/>
    <w:basedOn w:val="Normal"/>
    <w:pPr>
      <w:tabs>
        <w:tab w:val="left" w:pos="0"/>
        <w:tab w:val="left" w:pos="1440"/>
      </w:tabs>
      <w:spacing w:after="240"/>
      <w:ind w:left="2880" w:hanging="1440"/>
    </w:pPr>
  </w:style>
  <w:style w:type="paragraph" w:styleId="Header">
    <w:name w:val="header"/>
    <w:rPr>
      <w:noProof/>
      <w:sz w:val="24"/>
    </w:rPr>
  </w:style>
  <w:style w:type="paragraph" w:customStyle="1" w:styleId="HeaderLandscape">
    <w:name w:val="Header Landscape"/>
    <w:basedOn w:val="Normal"/>
    <w:pPr>
      <w:tabs>
        <w:tab w:val="center" w:pos="6480"/>
        <w:tab w:val="right" w:pos="12960"/>
      </w:tabs>
    </w:pPr>
  </w:style>
  <w:style w:type="character" w:styleId="Hyperlink">
    <w:name w:val="Hyperlink"/>
    <w:rPr>
      <w:color w:val="0000FF"/>
      <w:u w:val="single"/>
    </w:rPr>
  </w:style>
  <w:style w:type="paragraph" w:customStyle="1" w:styleId="Index">
    <w:name w:val="Index"/>
    <w:basedOn w:val="Normal"/>
  </w:style>
  <w:style w:type="paragraph" w:styleId="Index1">
    <w:name w:val="index 1"/>
    <w:basedOn w:val="Index"/>
    <w:next w:val="Normal"/>
    <w:autoRedefine/>
    <w:semiHidden/>
  </w:style>
  <w:style w:type="paragraph" w:styleId="Index2">
    <w:name w:val="index 2"/>
    <w:basedOn w:val="Index1"/>
    <w:next w:val="Normal"/>
    <w:autoRedefine/>
    <w:semiHidden/>
    <w:pPr>
      <w:ind w:left="360"/>
    </w:pPr>
  </w:style>
  <w:style w:type="paragraph" w:styleId="Index3">
    <w:name w:val="index 3"/>
    <w:basedOn w:val="Index2"/>
    <w:next w:val="Normal"/>
    <w:autoRedefine/>
    <w:semiHidden/>
    <w:pPr>
      <w:ind w:left="720"/>
    </w:pPr>
  </w:style>
  <w:style w:type="paragraph" w:styleId="Index4">
    <w:name w:val="index 4"/>
    <w:basedOn w:val="Index3"/>
    <w:next w:val="Normal"/>
    <w:autoRedefine/>
    <w:semiHidden/>
    <w:pPr>
      <w:ind w:left="1080"/>
    </w:pPr>
  </w:style>
  <w:style w:type="paragraph" w:styleId="Index5">
    <w:name w:val="index 5"/>
    <w:basedOn w:val="Index4"/>
    <w:next w:val="Normal"/>
    <w:autoRedefine/>
    <w:semiHidden/>
    <w:pPr>
      <w:ind w:left="1440"/>
    </w:pPr>
  </w:style>
  <w:style w:type="paragraph" w:styleId="Index6">
    <w:name w:val="index 6"/>
    <w:basedOn w:val="Index5"/>
    <w:next w:val="Normal"/>
    <w:autoRedefine/>
    <w:semiHidden/>
    <w:pPr>
      <w:ind w:left="1800"/>
    </w:pPr>
  </w:style>
  <w:style w:type="paragraph" w:styleId="Index7">
    <w:name w:val="index 7"/>
    <w:basedOn w:val="Index6"/>
    <w:next w:val="Normal"/>
    <w:autoRedefine/>
    <w:semiHidden/>
    <w:pPr>
      <w:ind w:left="2160"/>
    </w:pPr>
  </w:style>
  <w:style w:type="paragraph" w:styleId="Index8">
    <w:name w:val="index 8"/>
    <w:basedOn w:val="Index7"/>
    <w:next w:val="Normal"/>
    <w:autoRedefine/>
    <w:semiHidden/>
    <w:pPr>
      <w:ind w:left="2520"/>
    </w:pPr>
  </w:style>
  <w:style w:type="paragraph" w:styleId="Index9">
    <w:name w:val="index 9"/>
    <w:basedOn w:val="Index8"/>
    <w:next w:val="Normal"/>
    <w:autoRedefine/>
    <w:semiHidden/>
    <w:pPr>
      <w:ind w:left="2880"/>
    </w:pPr>
  </w:style>
  <w:style w:type="paragraph" w:styleId="IndexHeading">
    <w:name w:val="index heading"/>
    <w:basedOn w:val="Normal"/>
    <w:next w:val="Index1"/>
    <w:semiHidden/>
  </w:style>
  <w:style w:type="paragraph" w:customStyle="1" w:styleId="Initials">
    <w:name w:val="Initials"/>
    <w:basedOn w:val="Normal"/>
    <w:next w:val="Normal"/>
    <w:pPr>
      <w:spacing w:after="240"/>
    </w:pPr>
  </w:style>
  <w:style w:type="character" w:styleId="LineNumber">
    <w:name w:val="line number"/>
    <w:basedOn w:val="DefaultParagraphFont"/>
  </w:style>
  <w:style w:type="paragraph" w:customStyle="1" w:styleId="List1d">
    <w:name w:val="List 1.d"/>
    <w:basedOn w:val="List1"/>
    <w:pPr>
      <w:tabs>
        <w:tab w:val="decimal" w:pos="1080"/>
      </w:tabs>
      <w:ind w:left="1440" w:hanging="1440"/>
    </w:pPr>
  </w:style>
  <w:style w:type="paragraph" w:customStyle="1" w:styleId="List2d">
    <w:name w:val="List 2.d"/>
    <w:basedOn w:val="List2"/>
    <w:pPr>
      <w:tabs>
        <w:tab w:val="decimal" w:pos="1800"/>
      </w:tabs>
      <w:ind w:left="2160" w:hanging="1440"/>
    </w:pPr>
  </w:style>
  <w:style w:type="paragraph" w:customStyle="1" w:styleId="List3d">
    <w:name w:val="List 3.d"/>
    <w:basedOn w:val="List3"/>
    <w:pPr>
      <w:tabs>
        <w:tab w:val="decimal" w:pos="2520"/>
      </w:tabs>
      <w:ind w:left="2880" w:hanging="1440"/>
    </w:pPr>
  </w:style>
  <w:style w:type="paragraph" w:customStyle="1" w:styleId="List4d">
    <w:name w:val="List 4.d"/>
    <w:basedOn w:val="List4"/>
    <w:pPr>
      <w:tabs>
        <w:tab w:val="decimal" w:pos="3240"/>
      </w:tabs>
      <w:ind w:left="3600" w:hanging="1440"/>
    </w:pPr>
  </w:style>
  <w:style w:type="paragraph" w:customStyle="1" w:styleId="List5d">
    <w:name w:val="List 5.d"/>
    <w:basedOn w:val="List5"/>
    <w:pPr>
      <w:tabs>
        <w:tab w:val="decimal" w:pos="3960"/>
      </w:tabs>
      <w:ind w:left="4320" w:hanging="1440"/>
    </w:pPr>
  </w:style>
  <w:style w:type="paragraph" w:styleId="ListBullet">
    <w:name w:val="List Bullet"/>
    <w:basedOn w:val="Normal"/>
    <w:autoRedefine/>
    <w:pPr>
      <w:numPr>
        <w:numId w:val="14"/>
      </w:numPr>
    </w:pPr>
  </w:style>
  <w:style w:type="paragraph" w:customStyle="1" w:styleId="ListBullet1">
    <w:name w:val="List Bullet 1"/>
    <w:basedOn w:val="Normal"/>
    <w:autoRedefine/>
    <w:pPr>
      <w:numPr>
        <w:numId w:val="15"/>
      </w:numPr>
      <w:tabs>
        <w:tab w:val="clear" w:pos="360"/>
      </w:tabs>
      <w:ind w:left="720" w:hanging="720"/>
    </w:pPr>
  </w:style>
  <w:style w:type="paragraph" w:styleId="ListBullet2">
    <w:name w:val="List Bullet 2"/>
    <w:basedOn w:val="Normal"/>
    <w:autoRedefine/>
    <w:pPr>
      <w:numPr>
        <w:numId w:val="17"/>
      </w:numPr>
      <w:tabs>
        <w:tab w:val="clear" w:pos="720"/>
      </w:tabs>
      <w:ind w:left="1440" w:hanging="720"/>
    </w:pPr>
  </w:style>
  <w:style w:type="paragraph" w:styleId="ListBullet3">
    <w:name w:val="List Bullet 3"/>
    <w:basedOn w:val="Normal"/>
    <w:autoRedefine/>
    <w:pPr>
      <w:numPr>
        <w:numId w:val="19"/>
      </w:numPr>
      <w:tabs>
        <w:tab w:val="clear" w:pos="1080"/>
      </w:tabs>
      <w:ind w:left="2160" w:hanging="720"/>
    </w:pPr>
  </w:style>
  <w:style w:type="paragraph" w:styleId="ListBullet4">
    <w:name w:val="List Bullet 4"/>
    <w:basedOn w:val="Normal"/>
    <w:autoRedefine/>
    <w:pPr>
      <w:numPr>
        <w:numId w:val="21"/>
      </w:numPr>
      <w:tabs>
        <w:tab w:val="clear" w:pos="1440"/>
      </w:tabs>
      <w:ind w:left="2880" w:hanging="720"/>
    </w:pPr>
  </w:style>
  <w:style w:type="paragraph" w:styleId="ListBullet5">
    <w:name w:val="List Bullet 5"/>
    <w:basedOn w:val="Normal"/>
    <w:autoRedefine/>
    <w:pPr>
      <w:numPr>
        <w:numId w:val="23"/>
      </w:numPr>
      <w:tabs>
        <w:tab w:val="clear" w:pos="1800"/>
      </w:tabs>
      <w:ind w:left="3600" w:hanging="720"/>
    </w:pPr>
  </w:style>
  <w:style w:type="paragraph" w:styleId="ListContinue2">
    <w:name w:val="List Continue 2"/>
    <w:basedOn w:val="ListContinue"/>
    <w:pPr>
      <w:ind w:left="720"/>
    </w:pPr>
  </w:style>
  <w:style w:type="paragraph" w:styleId="ListContinue3">
    <w:name w:val="List Continue 3"/>
    <w:basedOn w:val="ListContinue"/>
    <w:pPr>
      <w:ind w:left="1440"/>
    </w:pPr>
  </w:style>
  <w:style w:type="paragraph" w:styleId="ListContinue4">
    <w:name w:val="List Continue 4"/>
    <w:basedOn w:val="ListContinue"/>
    <w:pPr>
      <w:ind w:left="2160"/>
    </w:pPr>
  </w:style>
  <w:style w:type="paragraph" w:styleId="ListContinue5">
    <w:name w:val="List Continue 5"/>
    <w:basedOn w:val="ListContinue"/>
    <w:pPr>
      <w:ind w:left="2880"/>
    </w:pPr>
  </w:style>
  <w:style w:type="paragraph" w:customStyle="1" w:styleId="ListNumber1">
    <w:name w:val="List Number 1"/>
    <w:basedOn w:val="ListNumber"/>
    <w:pPr>
      <w:numPr>
        <w:numId w:val="24"/>
      </w:numPr>
      <w:tabs>
        <w:tab w:val="clear" w:pos="360"/>
      </w:tabs>
      <w:ind w:left="720" w:hanging="720"/>
    </w:pPr>
  </w:style>
  <w:style w:type="paragraph" w:styleId="ListNumber2">
    <w:name w:val="List Number 2"/>
    <w:basedOn w:val="ListNumber"/>
    <w:pPr>
      <w:tabs>
        <w:tab w:val="num" w:pos="1800"/>
      </w:tabs>
      <w:ind w:left="1440" w:hanging="720"/>
    </w:pPr>
  </w:style>
  <w:style w:type="paragraph" w:styleId="ListNumber3">
    <w:name w:val="List Number 3"/>
    <w:basedOn w:val="ListNumber"/>
    <w:pPr>
      <w:numPr>
        <w:numId w:val="27"/>
      </w:numPr>
      <w:tabs>
        <w:tab w:val="clear" w:pos="1080"/>
      </w:tabs>
      <w:ind w:left="2160" w:hanging="720"/>
    </w:pPr>
  </w:style>
  <w:style w:type="paragraph" w:styleId="ListNumber4">
    <w:name w:val="List Number 4"/>
    <w:basedOn w:val="ListNumber"/>
    <w:pPr>
      <w:numPr>
        <w:numId w:val="29"/>
      </w:numPr>
      <w:tabs>
        <w:tab w:val="clear" w:pos="1440"/>
      </w:tabs>
      <w:ind w:left="2880" w:hanging="720"/>
    </w:pPr>
  </w:style>
  <w:style w:type="paragraph" w:styleId="ListNumber5">
    <w:name w:val="List Number 5"/>
    <w:basedOn w:val="ListNumber"/>
    <w:pPr>
      <w:numPr>
        <w:numId w:val="31"/>
      </w:numPr>
      <w:tabs>
        <w:tab w:val="clear" w:pos="1800"/>
      </w:tabs>
      <w:ind w:left="3600" w:hanging="72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Courier New" w:hAnsi="Courier New"/>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080" w:hanging="1080"/>
    </w:pPr>
    <w:rPr>
      <w:rFonts w:ascii="Arial" w:hAnsi="Arial"/>
    </w:rPr>
  </w:style>
  <w:style w:type="paragraph" w:styleId="NormalIndent">
    <w:name w:val="Normal Indent"/>
    <w:basedOn w:val="Normal"/>
    <w:pPr>
      <w:spacing w:after="240"/>
      <w:ind w:left="720"/>
    </w:pPr>
  </w:style>
  <w:style w:type="paragraph" w:styleId="NoteHeading">
    <w:name w:val="Note Heading"/>
    <w:basedOn w:val="Normal"/>
    <w:next w:val="Normal"/>
  </w:style>
  <w:style w:type="character" w:styleId="PageNumber">
    <w:name w:val="page number"/>
    <w:rPr>
      <w:rFonts w:ascii="Times New Roman" w:hAnsi="Times New Roman"/>
      <w:color w:val="auto"/>
      <w:sz w:val="24"/>
    </w:rPr>
  </w:style>
  <w:style w:type="character" w:customStyle="1" w:styleId="ParaNum">
    <w:name w:val="ParaNum"/>
    <w:basedOn w:val="DefaultParagraphFont"/>
  </w:style>
  <w:style w:type="paragraph" w:customStyle="1" w:styleId="Plain">
    <w:name w:val="Plain"/>
    <w:pPr>
      <w:spacing w:line="240" w:lineRule="exact"/>
    </w:pPr>
    <w:rPr>
      <w:sz w:val="24"/>
    </w:rPr>
  </w:style>
  <w:style w:type="paragraph" w:styleId="PlainText">
    <w:name w:val="Plain Text"/>
    <w:basedOn w:val="Normal"/>
    <w:rPr>
      <w:rFonts w:ascii="Courier New" w:hAnsi="Courier New"/>
      <w:sz w:val="20"/>
    </w:rPr>
  </w:style>
  <w:style w:type="paragraph" w:customStyle="1" w:styleId="Privacy">
    <w:name w:val="Privacy"/>
    <w:basedOn w:val="Normal"/>
    <w:next w:val="Normal"/>
    <w:pPr>
      <w:spacing w:before="240" w:after="240"/>
      <w:jc w:val="center"/>
    </w:pPr>
    <w:rPr>
      <w:b/>
    </w:rPr>
  </w:style>
  <w:style w:type="paragraph" w:customStyle="1" w:styleId="QuoteDoubleSpace">
    <w:name w:val="Quote DoubleSpace"/>
    <w:basedOn w:val="Quote1"/>
    <w:next w:val="Normal"/>
    <w:pPr>
      <w:spacing w:line="480" w:lineRule="auto"/>
    </w:pPr>
  </w:style>
  <w:style w:type="paragraph" w:customStyle="1" w:styleId="ReLine">
    <w:name w:val="Re Line"/>
    <w:basedOn w:val="Normal"/>
    <w:next w:val="Normal"/>
    <w:pPr>
      <w:spacing w:before="240" w:after="240"/>
      <w:ind w:left="2880" w:hanging="1440"/>
    </w:pPr>
  </w:style>
  <w:style w:type="paragraph" w:customStyle="1" w:styleId="RecipientTitle">
    <w:name w:val="RecipientTitle"/>
    <w:basedOn w:val="Normal"/>
  </w:style>
  <w:style w:type="paragraph" w:customStyle="1" w:styleId="Recital">
    <w:name w:val="Recital"/>
    <w:basedOn w:val="Normal"/>
    <w:next w:val="Normal"/>
    <w:pPr>
      <w:spacing w:before="480" w:after="240"/>
      <w:jc w:val="center"/>
    </w:pPr>
    <w:rPr>
      <w:caps/>
      <w:u w:val="words"/>
    </w:rPr>
  </w:style>
  <w:style w:type="paragraph" w:styleId="Salutation">
    <w:name w:val="Salutation"/>
    <w:basedOn w:val="Normal"/>
    <w:next w:val="Normal"/>
  </w:style>
  <w:style w:type="paragraph" w:styleId="Signature">
    <w:name w:val="Signature"/>
    <w:basedOn w:val="Normal"/>
    <w:pPr>
      <w:ind w:left="4320"/>
    </w:pPr>
  </w:style>
  <w:style w:type="character" w:styleId="Strong">
    <w:name w:val="Strong"/>
    <w:qFormat/>
    <w:rPr>
      <w:b/>
    </w:rPr>
  </w:style>
  <w:style w:type="paragraph" w:styleId="Subtitle">
    <w:name w:val="Subtitle"/>
    <w:basedOn w:val="Normal"/>
    <w:qFormat/>
    <w:pPr>
      <w:spacing w:after="240"/>
      <w:jc w:val="center"/>
      <w:outlineLvl w:val="1"/>
    </w:pPr>
  </w:style>
  <w:style w:type="paragraph" w:customStyle="1" w:styleId="SubtitleLeftDbl">
    <w:name w:val="Subtitle Left Dbl"/>
    <w:basedOn w:val="Normal"/>
    <w:pPr>
      <w:spacing w:line="480" w:lineRule="auto"/>
    </w:pPr>
    <w:rPr>
      <w:b/>
    </w:rPr>
  </w:style>
  <w:style w:type="paragraph" w:customStyle="1" w:styleId="SubtitleLeft">
    <w:name w:val="Subtitle Left"/>
    <w:basedOn w:val="Normal"/>
    <w:pPr>
      <w:spacing w:after="240"/>
    </w:pPr>
    <w:rPr>
      <w:b/>
    </w:rPr>
  </w:style>
  <w:style w:type="paragraph" w:customStyle="1" w:styleId="TableHeadings">
    <w:name w:val="Table Headings"/>
    <w:basedOn w:val="Table"/>
    <w:rPr>
      <w:b/>
    </w:rPr>
  </w:style>
  <w:style w:type="paragraph" w:styleId="TableofAuthorities">
    <w:name w:val="table of authorities"/>
    <w:basedOn w:val="Normal"/>
    <w:next w:val="Normal"/>
    <w:semiHidden/>
    <w:pPr>
      <w:ind w:left="240" w:hanging="240"/>
    </w:pPr>
  </w:style>
  <w:style w:type="paragraph" w:styleId="TableofFigures">
    <w:name w:val="table of figures"/>
    <w:basedOn w:val="Normal"/>
    <w:next w:val="Normal"/>
    <w:semiHidden/>
    <w:pPr>
      <w:ind w:left="480" w:hanging="480"/>
    </w:pPr>
  </w:style>
  <w:style w:type="paragraph" w:customStyle="1" w:styleId="TableSubtotal">
    <w:name w:val="Table Subtotal"/>
    <w:basedOn w:val="Table"/>
    <w:pPr>
      <w:pBdr>
        <w:top w:val="single" w:sz="4" w:space="1" w:color="auto"/>
        <w:bottom w:val="single" w:sz="4" w:space="1" w:color="auto"/>
      </w:pBdr>
    </w:pPr>
  </w:style>
  <w:style w:type="paragraph" w:customStyle="1" w:styleId="TableText">
    <w:name w:val="Table Text"/>
    <w:basedOn w:val="Table"/>
    <w:pPr>
      <w:spacing w:before="40" w:after="40"/>
    </w:pPr>
  </w:style>
  <w:style w:type="paragraph" w:customStyle="1" w:styleId="TableTotal">
    <w:name w:val="Table Total"/>
    <w:basedOn w:val="Table"/>
    <w:pPr>
      <w:pBdr>
        <w:bottom w:val="double" w:sz="4" w:space="1" w:color="auto"/>
      </w:pBdr>
    </w:pPr>
    <w:rPr>
      <w:b/>
    </w:rPr>
  </w:style>
  <w:style w:type="paragraph" w:customStyle="1" w:styleId="TitleAppendix">
    <w:name w:val="Title Appendix"/>
    <w:basedOn w:val="Title"/>
    <w:pPr>
      <w:spacing w:after="360"/>
    </w:pPr>
  </w:style>
  <w:style w:type="paragraph" w:customStyle="1" w:styleId="TitleCover">
    <w:name w:val="Title Cover"/>
    <w:basedOn w:val="Normal"/>
    <w:rPr>
      <w:sz w:val="28"/>
    </w:rPr>
  </w:style>
  <w:style w:type="paragraph" w:customStyle="1" w:styleId="TitleDate">
    <w:name w:val="Title Date"/>
    <w:basedOn w:val="TitleCover"/>
    <w:pPr>
      <w:spacing w:before="240"/>
    </w:pPr>
  </w:style>
  <w:style w:type="paragraph" w:customStyle="1" w:styleId="TitleDocument">
    <w:name w:val="Title Document"/>
    <w:basedOn w:val="Normal"/>
    <w:next w:val="BodyText"/>
    <w:rPr>
      <w:caps/>
      <w:sz w:val="28"/>
    </w:rPr>
  </w:style>
  <w:style w:type="paragraph" w:customStyle="1" w:styleId="TitleExhibit">
    <w:name w:val="Title Exhibit"/>
    <w:basedOn w:val="Title"/>
    <w:pPr>
      <w:spacing w:before="480" w:after="360"/>
      <w:jc w:val="right"/>
    </w:pPr>
    <w:rPr>
      <w:caps/>
    </w:rPr>
  </w:style>
  <w:style w:type="paragraph" w:customStyle="1" w:styleId="TitleIndex">
    <w:name w:val="Title Index"/>
    <w:basedOn w:val="Title"/>
    <w:pPr>
      <w:spacing w:after="360"/>
    </w:pPr>
  </w:style>
  <w:style w:type="paragraph" w:customStyle="1" w:styleId="TitleSchedule">
    <w:name w:val="Title Schedule"/>
    <w:basedOn w:val="Title"/>
    <w:pPr>
      <w:spacing w:before="360" w:after="360"/>
      <w:jc w:val="right"/>
    </w:pPr>
    <w:rPr>
      <w:caps/>
    </w:rPr>
  </w:style>
  <w:style w:type="paragraph" w:customStyle="1" w:styleId="TitleTOC">
    <w:name w:val="Title TOC"/>
    <w:basedOn w:val="Normal"/>
  </w:style>
  <w:style w:type="paragraph" w:customStyle="1" w:styleId="TitleTOE">
    <w:name w:val="Title TOE"/>
    <w:basedOn w:val="Normal"/>
  </w:style>
  <w:style w:type="paragraph" w:styleId="TOAHeading">
    <w:name w:val="toa heading"/>
    <w:basedOn w:val="Normal"/>
    <w:next w:val="Normal"/>
    <w:semiHidden/>
    <w:pPr>
      <w:spacing w:before="120"/>
    </w:pPr>
    <w:rPr>
      <w:rFonts w:ascii="Arial" w:hAnsi="Arial"/>
      <w:b/>
    </w:rPr>
  </w:style>
  <w:style w:type="paragraph" w:styleId="TOC1">
    <w:name w:val="toc 1"/>
    <w:basedOn w:val="Normal"/>
    <w:autoRedefine/>
    <w:semiHidden/>
    <w:pPr>
      <w:spacing w:before="240" w:after="240"/>
    </w:pPr>
    <w:rPr>
      <w:caps/>
    </w:rPr>
  </w:style>
  <w:style w:type="paragraph" w:styleId="TOC2">
    <w:name w:val="toc 2"/>
    <w:basedOn w:val="Normal"/>
    <w:autoRedefine/>
    <w:semiHidden/>
    <w:pPr>
      <w:ind w:left="720"/>
    </w:pPr>
  </w:style>
  <w:style w:type="paragraph" w:styleId="TOC3">
    <w:name w:val="toc 3"/>
    <w:basedOn w:val="Normal"/>
    <w:autoRedefine/>
    <w:semiHidden/>
    <w:pPr>
      <w:ind w:left="1440"/>
    </w:pPr>
  </w:style>
  <w:style w:type="paragraph" w:styleId="TOC4">
    <w:name w:val="toc 4"/>
    <w:basedOn w:val="Normal"/>
    <w:next w:val="Normal"/>
    <w:autoRedefine/>
    <w:semiHidden/>
    <w:pPr>
      <w:ind w:left="1440"/>
    </w:pPr>
  </w:style>
  <w:style w:type="paragraph" w:styleId="TOC5">
    <w:name w:val="toc 5"/>
    <w:basedOn w:val="Normal"/>
    <w:next w:val="Normal"/>
    <w:autoRedefine/>
    <w:semiHidden/>
    <w:pPr>
      <w:ind w:left="1440"/>
    </w:pPr>
  </w:style>
  <w:style w:type="paragraph" w:styleId="TOC6">
    <w:name w:val="toc 6"/>
    <w:basedOn w:val="Normal"/>
    <w:next w:val="Normal"/>
    <w:autoRedefine/>
    <w:semiHidden/>
    <w:pPr>
      <w:ind w:left="1440"/>
    </w:pPr>
  </w:style>
  <w:style w:type="paragraph" w:styleId="TOC7">
    <w:name w:val="toc 7"/>
    <w:basedOn w:val="Normal"/>
    <w:next w:val="Normal"/>
    <w:autoRedefine/>
    <w:semiHidden/>
    <w:pPr>
      <w:ind w:left="1440"/>
    </w:pPr>
  </w:style>
  <w:style w:type="paragraph" w:styleId="TOC9">
    <w:name w:val="toc 9"/>
    <w:basedOn w:val="TOC8"/>
    <w:next w:val="Normal"/>
    <w:autoRedefine/>
    <w:semiHidden/>
  </w:style>
  <w:style w:type="paragraph" w:customStyle="1" w:styleId="TOCTitle">
    <w:name w:val="TOC Title"/>
    <w:basedOn w:val="Normal"/>
    <w:next w:val="TOC1"/>
    <w:pPr>
      <w:jc w:val="center"/>
    </w:pPr>
    <w:rPr>
      <w:b/>
      <w:caps/>
    </w:rPr>
  </w:style>
  <w:style w:type="character" w:customStyle="1" w:styleId="DocIDChar">
    <w:name w:val="DocID Char"/>
    <w:basedOn w:val="DefaultParagraphFont"/>
    <w:link w:val="DocID"/>
    <w:rsid w:val="005D39BD"/>
    <w:rPr>
      <w:sz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1262</TotalTime>
  <Pages>8</Pages>
  <Words>3771</Words>
  <Characters>19029</Characters>
  <Application>Microsoft Office Word</Application>
  <DocSecurity>0</DocSecurity>
  <Lines>158</Lines>
  <Paragraphs>45</Paragraphs>
  <ScaleCrop>false</ScaleCrop>
  <HeadingPairs>
    <vt:vector size="2" baseType="variant">
      <vt:variant>
        <vt:lpstr>Title</vt:lpstr>
      </vt:variant>
      <vt:variant>
        <vt:i4>1</vt:i4>
      </vt:variant>
    </vt:vector>
  </HeadingPairs>
  <TitlesOfParts>
    <vt:vector size="1" baseType="lpstr">
      <vt:lpstr>BYLAWS</vt:lpstr>
    </vt:vector>
  </TitlesOfParts>
  <Company>Microsystems Engineering Company</Company>
  <LinksUpToDate>false</LinksUpToDate>
  <CharactersWithSpaces>22755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BYLAWS</dc:title>
  <dc:subject/>
  <dc:creator>convproj</dc:creator>
  <cp:keywords/>
  <dc:description/>
  <cp:lastModifiedBy>Day, David</cp:lastModifiedBy>
  <cp:revision>50</cp:revision>
  <cp:lastPrinted>2013-08-22T02:53:00Z</cp:lastPrinted>
  <dcterms:created xsi:type="dcterms:W3CDTF">2015-05-21T23:41:00Z</dcterms:created>
  <dcterms:modified xsi:type="dcterms:W3CDTF">2017-12-21T02:18:00Z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AIL_MSG_ID1">
    <vt:lpwstr>oFAAohepTGvwTLiJ2BE2qVNpm3Zbtz8i20FXoepUJzvbQm9xalEOMgWqbHwLBv4UVc8swFf+5V2wTc/b_x000d_
7z9ONAXIE1iphuo/P3TuUw3y2H/RIkies0EpolqrKMMxD76D20+GKpK7htSiilXb7z9ONAXIE1ip_x000d_
huo/P3TuUw3y2H/RIkies0EpolqrKBr5p6iLz7Fzm2VvlfkPeocSfjhlf1G2UtGFOe00y8kB/NWT_x000d_
kSQqGQV9kFd/aLKub</vt:lpwstr>
  </property>
  <property fmtid="{D5CDD505-2E9C-101B-9397-08002B2CF9AE}" pid="3" name="MAIL_MSG_ID2">
    <vt:lpwstr>5AJQDIEodsmMrJkjpaibh6g556eYsiYFKJPuAu4F8zYbTYJNWuzhESOq5yT_x000d_
quYiaBo2DRaEljtnDgvGvexXrJOsFmZzykYZuoHDuqpRl1Y9</vt:lpwstr>
  </property>
  <property fmtid="{D5CDD505-2E9C-101B-9397-08002B2CF9AE}" pid="4" name="RESPONSE_SENDER_NAME">
    <vt:lpwstr>sAAAb0xRtPDW5UsZgSCMguii0unCjizrdKrctDrGxYqAdsk=</vt:lpwstr>
  </property>
  <property fmtid="{D5CDD505-2E9C-101B-9397-08002B2CF9AE}" pid="5" name="EMAIL_OWNER_ADDRESS">
    <vt:lpwstr>4AAA9mrMv1QjWAvYQwK9GnZnePWin4Li14hBFWwXnMNV4Td87TuUXfNC6Q==</vt:lpwstr>
  </property>
  <property fmtid="{D5CDD505-2E9C-101B-9397-08002B2CF9AE}" pid="6" name="CUS_DocIDString">
    <vt:lpwstr>4824-4001-0788\2</vt:lpwstr>
  </property>
  <property fmtid="{D5CDD505-2E9C-101B-9397-08002B2CF9AE}" pid="7" name="NDDocNumber">
    <vt:lpwstr>4824-4001-0788</vt:lpwstr>
  </property>
  <property fmtid="{D5CDD505-2E9C-101B-9397-08002B2CF9AE}" pid="8" name="CUS_DocIDChunk0">
    <vt:lpwstr>4824-4001-0788\2</vt:lpwstr>
  </property>
  <property fmtid="{D5CDD505-2E9C-101B-9397-08002B2CF9AE}" pid="9" name="CUS_DocIDActiveBits">
    <vt:lpwstr>126976</vt:lpwstr>
  </property>
  <property fmtid="{D5CDD505-2E9C-101B-9397-08002B2CF9AE}" pid="10" name="CUS_DocIDLocation">
    <vt:lpwstr>EVERY_PAGE</vt:lpwstr>
  </property>
  <property fmtid="{D5CDD505-2E9C-101B-9397-08002B2CF9AE}" pid="11" name="CUS_DocIDReference">
    <vt:lpwstr>everyPage</vt:lpwstr>
  </property>
</Properties>
</file>